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25B" w:rsidRDefault="007143E2">
      <w:pPr>
        <w:pStyle w:val="ac"/>
        <w:spacing w:before="14"/>
        <w:rPr>
          <w:rFonts w:ascii="黑体" w:eastAsia="黑体" w:hAnsi="黑体" w:cs="黑体"/>
          <w:highlight w:val="yellow"/>
          <w:lang w:val="en-US" w:eastAsia="zh-CN"/>
        </w:rPr>
      </w:pPr>
      <w:r>
        <w:rPr>
          <w:rFonts w:ascii="Times New Roman" w:eastAsia="黑体" w:hAnsi="Times New Roman"/>
          <w:b/>
          <w:bCs/>
        </w:rPr>
        <w:t>ICS</w:t>
      </w:r>
      <w:r>
        <w:rPr>
          <w:rFonts w:ascii="黑体" w:eastAsia="黑体" w:hAnsi="黑体" w:cs="黑体"/>
          <w:spacing w:val="-2"/>
        </w:rPr>
        <w:t xml:space="preserve"> </w:t>
      </w:r>
      <w:r>
        <w:rPr>
          <w:rFonts w:ascii="黑体" w:eastAsia="黑体" w:hAnsi="黑体" w:cs="黑体" w:hint="eastAsia"/>
          <w:spacing w:val="-2"/>
          <w:lang w:val="en-US" w:eastAsia="zh-CN"/>
        </w:rPr>
        <w:t>XX.XXX.XX</w:t>
      </w:r>
    </w:p>
    <w:p w:rsidR="00FA225B" w:rsidRDefault="007143E2">
      <w:pPr>
        <w:pStyle w:val="ac"/>
        <w:spacing w:before="37"/>
        <w:rPr>
          <w:rFonts w:ascii="黑体" w:eastAsia="黑体" w:hAnsi="黑体" w:cs="黑体"/>
          <w:lang w:val="en-US" w:eastAsia="zh-CN"/>
        </w:rPr>
      </w:pPr>
      <w:r>
        <w:rPr>
          <w:rFonts w:ascii="Times New Roman" w:eastAsia="黑体" w:hAnsi="Times New Roman" w:hint="eastAsia"/>
          <w:b/>
          <w:bCs/>
          <w:lang w:val="en-US" w:eastAsia="zh-CN"/>
        </w:rPr>
        <w:t>B</w:t>
      </w:r>
      <w:r>
        <w:rPr>
          <w:rFonts w:ascii="黑体" w:eastAsia="黑体" w:hAnsi="黑体" w:cs="黑体" w:hint="eastAsia"/>
          <w:lang w:val="en-US" w:eastAsia="zh-CN"/>
        </w:rPr>
        <w:t xml:space="preserve"> X </w:t>
      </w:r>
      <w:r>
        <w:rPr>
          <w:rFonts w:ascii="黑体" w:eastAsia="黑体" w:hAnsi="黑体" w:cs="黑体" w:hint="eastAsia"/>
          <w:spacing w:val="-2"/>
          <w:lang w:val="en-US" w:eastAsia="zh-CN"/>
        </w:rPr>
        <w:t>XX</w:t>
      </w:r>
    </w:p>
    <w:p w:rsidR="00FA225B" w:rsidRDefault="007143E2">
      <w:pPr>
        <w:spacing w:before="1560" w:after="240" w:line="510" w:lineRule="exact"/>
        <w:rPr>
          <w:b/>
          <w:szCs w:val="21"/>
        </w:rPr>
      </w:pPr>
      <w:r>
        <w:rPr>
          <w:rFonts w:eastAsia="黑体" w:hint="eastAsia"/>
          <w:spacing w:val="476"/>
          <w:kern w:val="0"/>
          <w:sz w:val="56"/>
          <w:szCs w:val="44"/>
          <w:fitText w:val="9639" w:id="726949204"/>
        </w:rPr>
        <w:t>江苏省地方</w:t>
      </w:r>
      <w:r>
        <w:rPr>
          <w:rFonts w:eastAsia="黑体"/>
          <w:spacing w:val="476"/>
          <w:kern w:val="0"/>
          <w:sz w:val="56"/>
          <w:szCs w:val="44"/>
          <w:fitText w:val="9639" w:id="726949204"/>
        </w:rPr>
        <w:t>标</w:t>
      </w:r>
      <w:r>
        <w:rPr>
          <w:rFonts w:eastAsia="黑体"/>
          <w:spacing w:val="3"/>
          <w:kern w:val="0"/>
          <w:sz w:val="56"/>
          <w:szCs w:val="44"/>
          <w:fitText w:val="9639" w:id="726949204"/>
        </w:rPr>
        <w:t>准</w:t>
      </w:r>
    </w:p>
    <w:p w:rsidR="00FA225B" w:rsidRDefault="007143E2">
      <w:pPr>
        <w:tabs>
          <w:tab w:val="left" w:pos="4989"/>
          <w:tab w:val="right" w:pos="8440"/>
        </w:tabs>
        <w:spacing w:line="510" w:lineRule="exact"/>
        <w:ind w:right="284" w:firstLineChars="600" w:firstLine="1680"/>
        <w:jc w:val="right"/>
        <w:rPr>
          <w:rFonts w:eastAsia="黑体"/>
          <w:b/>
          <w:szCs w:val="21"/>
        </w:rPr>
      </w:pPr>
      <w:r>
        <w:rPr>
          <w:rFonts w:eastAsia="黑体"/>
          <w:bCs/>
          <w:snapToGrid w:val="0"/>
          <w:kern w:val="0"/>
          <w:sz w:val="28"/>
          <w:szCs w:val="28"/>
        </w:rPr>
        <w:t xml:space="preserve"> </w:t>
      </w:r>
      <w:r>
        <w:rPr>
          <w:rFonts w:eastAsia="黑体" w:hint="eastAsia"/>
          <w:b/>
          <w:snapToGrid w:val="0"/>
          <w:kern w:val="0"/>
          <w:sz w:val="28"/>
          <w:szCs w:val="28"/>
        </w:rPr>
        <w:t>DB32</w:t>
      </w:r>
      <w:r>
        <w:rPr>
          <w:rFonts w:eastAsia="黑体"/>
          <w:b/>
          <w:snapToGrid w:val="0"/>
          <w:kern w:val="0"/>
          <w:sz w:val="28"/>
          <w:szCs w:val="28"/>
        </w:rPr>
        <w:t>/</w:t>
      </w:r>
      <w:r>
        <w:rPr>
          <w:rFonts w:eastAsia="黑体" w:hint="eastAsia"/>
          <w:b/>
          <w:snapToGrid w:val="0"/>
          <w:kern w:val="0"/>
          <w:sz w:val="28"/>
          <w:szCs w:val="28"/>
        </w:rPr>
        <w:t>T</w:t>
      </w:r>
      <w:r>
        <w:rPr>
          <w:rFonts w:ascii="黑体" w:eastAsia="黑体" w:hAnsi="黑体" w:cs="黑体" w:hint="eastAsia"/>
          <w:bCs/>
          <w:snapToGrid w:val="0"/>
          <w:kern w:val="0"/>
          <w:sz w:val="28"/>
          <w:szCs w:val="28"/>
        </w:rPr>
        <w:t xml:space="preserve"> </w:t>
      </w:r>
      <w:r>
        <w:rPr>
          <w:rFonts w:ascii="黑体" w:eastAsia="黑体" w:hAnsi="黑体" w:hint="eastAsia"/>
          <w:bCs/>
          <w:snapToGrid w:val="0"/>
          <w:kern w:val="0"/>
          <w:sz w:val="28"/>
          <w:szCs w:val="28"/>
        </w:rPr>
        <w:t>X</w:t>
      </w:r>
      <w:r>
        <w:rPr>
          <w:rFonts w:ascii="黑体" w:eastAsia="黑体" w:hAnsi="黑体" w:cs="黑体" w:hint="eastAsia"/>
          <w:bCs/>
          <w:snapToGrid w:val="0"/>
          <w:kern w:val="0"/>
          <w:sz w:val="28"/>
          <w:szCs w:val="28"/>
        </w:rPr>
        <w:t>-</w:t>
      </w:r>
      <w:r>
        <w:rPr>
          <w:rFonts w:ascii="黑体" w:eastAsia="黑体" w:hAnsi="黑体" w:hint="eastAsia"/>
          <w:bCs/>
          <w:snapToGrid w:val="0"/>
          <w:kern w:val="0"/>
          <w:sz w:val="28"/>
          <w:szCs w:val="28"/>
        </w:rPr>
        <w:t>202</w:t>
      </w:r>
      <w:r>
        <w:rPr>
          <w:rFonts w:ascii="黑体" w:eastAsia="黑体" w:hAnsi="黑体" w:hint="eastAsia"/>
          <w:bCs/>
          <w:snapToGrid w:val="0"/>
          <w:kern w:val="0"/>
          <w:sz w:val="28"/>
          <w:szCs w:val="28"/>
        </w:rPr>
        <w:t>4</w:t>
      </w:r>
    </w:p>
    <w:p w:rsidR="00FA225B" w:rsidRDefault="00FA225B"/>
    <w:p w:rsidR="00FA225B" w:rsidRDefault="00685D95">
      <w:r>
        <w:rPr>
          <w:noProof/>
        </w:rPr>
        <mc:AlternateContent>
          <mc:Choice Requires="wps">
            <w:drawing>
              <wp:anchor distT="0" distB="0" distL="114300" distR="114300" simplePos="0" relativeHeight="251657216" behindDoc="0" locked="0" layoutInCell="1" allowOverlap="1" wp14:anchorId="5CF99C0E" wp14:editId="6EE4B34E">
                <wp:simplePos x="0" y="0"/>
                <wp:positionH relativeFrom="page">
                  <wp:posOffset>900430</wp:posOffset>
                </wp:positionH>
                <wp:positionV relativeFrom="page">
                  <wp:posOffset>2861310</wp:posOffset>
                </wp:positionV>
                <wp:extent cx="6120130" cy="0"/>
                <wp:effectExtent l="0" t="0" r="13970" b="19050"/>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直接连接符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70.9pt,225.3pt" to="552.8pt,2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" strokeweight="1pt">
                <w10:wrap anchorx="page" anchory="page"/>
              </v:line>
            </w:pict>
          </mc:Fallback>
        </mc:AlternateContent>
      </w:r>
    </w:p>
    <w:p w:rsidR="00FA225B" w:rsidRDefault="00FA225B"/>
    <w:p w:rsidR="00FA225B" w:rsidRDefault="00FA225B"/>
    <w:p w:rsidR="00FA225B" w:rsidRDefault="00FA225B"/>
    <w:p w:rsidR="00FA225B" w:rsidRDefault="00FA225B"/>
    <w:p w:rsidR="00FA225B" w:rsidRPr="00685D95" w:rsidRDefault="007143E2">
      <w:pPr>
        <w:jc w:val="center"/>
        <w:rPr>
          <w:rFonts w:eastAsia="黑体"/>
          <w:bCs/>
          <w:kern w:val="0"/>
          <w:sz w:val="52"/>
          <w:szCs w:val="52"/>
        </w:rPr>
      </w:pPr>
      <w:r w:rsidRPr="00685D95">
        <w:rPr>
          <w:rFonts w:ascii="微软雅黑" w:eastAsia="微软雅黑" w:hAnsi="微软雅黑" w:cs="微软雅黑" w:hint="eastAsia"/>
          <w:bCs/>
          <w:sz w:val="52"/>
          <w:szCs w:val="52"/>
        </w:rPr>
        <w:t>沼液生物固化清洁工艺技术</w:t>
      </w:r>
      <w:r w:rsidRPr="00685D95">
        <w:rPr>
          <w:rFonts w:ascii="微软雅黑" w:eastAsia="微软雅黑" w:hAnsi="微软雅黑" w:cs="微软雅黑" w:hint="eastAsia"/>
          <w:bCs/>
          <w:sz w:val="52"/>
          <w:szCs w:val="52"/>
        </w:rPr>
        <w:t>规范</w:t>
      </w:r>
    </w:p>
    <w:p w:rsidR="00FA225B" w:rsidRDefault="007143E2">
      <w:pPr>
        <w:jc w:val="center"/>
        <w:rPr>
          <w:rFonts w:ascii="Arial" w:hAnsi="Arial" w:cs="Arial"/>
          <w:sz w:val="30"/>
          <w:szCs w:val="30"/>
        </w:rPr>
      </w:pPr>
      <w:r>
        <w:rPr>
          <w:rFonts w:ascii="Arial" w:hAnsi="Arial" w:cs="Arial" w:hint="eastAsia"/>
          <w:sz w:val="30"/>
          <w:szCs w:val="30"/>
        </w:rPr>
        <w:t xml:space="preserve">Technical </w:t>
      </w:r>
      <w:r>
        <w:rPr>
          <w:rFonts w:ascii="Arial" w:hAnsi="Arial" w:cs="Arial"/>
          <w:sz w:val="30"/>
          <w:szCs w:val="30"/>
        </w:rPr>
        <w:t>S</w:t>
      </w:r>
      <w:r>
        <w:rPr>
          <w:rFonts w:ascii="Arial" w:hAnsi="Arial" w:cs="Arial" w:hint="eastAsia"/>
          <w:sz w:val="30"/>
          <w:szCs w:val="30"/>
        </w:rPr>
        <w:t xml:space="preserve">pecification for </w:t>
      </w:r>
      <w:r>
        <w:rPr>
          <w:rFonts w:ascii="Arial" w:hAnsi="Arial" w:cs="Arial" w:hint="eastAsia"/>
          <w:sz w:val="30"/>
          <w:szCs w:val="30"/>
        </w:rPr>
        <w:t>Clean S</w:t>
      </w:r>
      <w:r>
        <w:rPr>
          <w:rFonts w:ascii="Arial" w:hAnsi="Arial" w:cs="Arial" w:hint="eastAsia"/>
          <w:sz w:val="30"/>
          <w:szCs w:val="30"/>
        </w:rPr>
        <w:t xml:space="preserve">olidification </w:t>
      </w:r>
      <w:r>
        <w:rPr>
          <w:rFonts w:ascii="Arial" w:hAnsi="Arial" w:cs="Arial"/>
          <w:sz w:val="30"/>
          <w:szCs w:val="30"/>
        </w:rPr>
        <w:t>P</w:t>
      </w:r>
      <w:r>
        <w:rPr>
          <w:rFonts w:ascii="Arial" w:hAnsi="Arial" w:cs="Arial" w:hint="eastAsia"/>
          <w:sz w:val="30"/>
          <w:szCs w:val="30"/>
        </w:rPr>
        <w:t xml:space="preserve">rocess of </w:t>
      </w:r>
      <w:r>
        <w:rPr>
          <w:rFonts w:ascii="Arial" w:hAnsi="Arial" w:cs="Arial"/>
          <w:sz w:val="30"/>
          <w:szCs w:val="30"/>
        </w:rPr>
        <w:t>B</w:t>
      </w:r>
      <w:r>
        <w:rPr>
          <w:rFonts w:ascii="Arial" w:hAnsi="Arial" w:cs="Arial" w:hint="eastAsia"/>
          <w:sz w:val="30"/>
          <w:szCs w:val="30"/>
        </w:rPr>
        <w:t xml:space="preserve">iogas </w:t>
      </w:r>
      <w:r>
        <w:rPr>
          <w:rFonts w:ascii="Arial" w:hAnsi="Arial" w:cs="Arial"/>
          <w:sz w:val="30"/>
          <w:szCs w:val="30"/>
        </w:rPr>
        <w:t>S</w:t>
      </w:r>
      <w:r>
        <w:rPr>
          <w:rFonts w:ascii="Arial" w:hAnsi="Arial" w:cs="Arial" w:hint="eastAsia"/>
          <w:sz w:val="30"/>
          <w:szCs w:val="30"/>
        </w:rPr>
        <w:t>lurry</w:t>
      </w:r>
    </w:p>
    <w:p w:rsidR="00FA225B" w:rsidRDefault="00FA225B">
      <w:pPr>
        <w:rPr>
          <w:rFonts w:eastAsia="黑体"/>
          <w:b/>
          <w:sz w:val="28"/>
          <w:szCs w:val="28"/>
        </w:rPr>
      </w:pPr>
    </w:p>
    <w:p w:rsidR="00FA225B" w:rsidRDefault="00FA225B">
      <w:pPr>
        <w:rPr>
          <w:rFonts w:eastAsia="黑体"/>
          <w:bCs/>
          <w:snapToGrid w:val="0"/>
          <w:kern w:val="0"/>
          <w:sz w:val="28"/>
          <w:szCs w:val="28"/>
        </w:rPr>
      </w:pPr>
    </w:p>
    <w:p w:rsidR="00FA225B" w:rsidRDefault="00FA225B">
      <w:pPr>
        <w:rPr>
          <w:rFonts w:eastAsia="黑体"/>
          <w:bCs/>
          <w:snapToGrid w:val="0"/>
          <w:kern w:val="0"/>
          <w:sz w:val="28"/>
          <w:szCs w:val="28"/>
        </w:rPr>
      </w:pPr>
    </w:p>
    <w:p w:rsidR="00FA225B" w:rsidRDefault="00FA225B">
      <w:pPr>
        <w:rPr>
          <w:rFonts w:eastAsia="黑体"/>
          <w:bCs/>
          <w:snapToGrid w:val="0"/>
          <w:kern w:val="0"/>
          <w:sz w:val="28"/>
          <w:szCs w:val="28"/>
        </w:rPr>
      </w:pPr>
    </w:p>
    <w:p w:rsidR="00FA225B" w:rsidRDefault="00FA225B">
      <w:pPr>
        <w:rPr>
          <w:rFonts w:eastAsia="黑体"/>
          <w:bCs/>
          <w:snapToGrid w:val="0"/>
          <w:kern w:val="0"/>
          <w:sz w:val="28"/>
          <w:szCs w:val="28"/>
        </w:rPr>
      </w:pPr>
    </w:p>
    <w:p w:rsidR="00FA225B" w:rsidRDefault="00FA225B">
      <w:pPr>
        <w:rPr>
          <w:rFonts w:eastAsia="黑体"/>
          <w:bCs/>
          <w:snapToGrid w:val="0"/>
          <w:kern w:val="0"/>
          <w:sz w:val="28"/>
          <w:szCs w:val="28"/>
        </w:rPr>
      </w:pPr>
    </w:p>
    <w:p w:rsidR="00FA225B" w:rsidRDefault="00FA225B">
      <w:pPr>
        <w:rPr>
          <w:rFonts w:ascii="黑体" w:eastAsia="黑体" w:hAnsi="黑体"/>
          <w:bCs/>
          <w:snapToGrid w:val="0"/>
          <w:kern w:val="0"/>
          <w:sz w:val="28"/>
          <w:szCs w:val="28"/>
        </w:rPr>
      </w:pPr>
    </w:p>
    <w:p w:rsidR="00FA225B" w:rsidRDefault="00FA225B">
      <w:pPr>
        <w:rPr>
          <w:rFonts w:ascii="黑体" w:eastAsia="黑体" w:hAnsi="黑体" w:hint="eastAsia"/>
          <w:bCs/>
          <w:snapToGrid w:val="0"/>
          <w:kern w:val="0"/>
          <w:sz w:val="28"/>
          <w:szCs w:val="28"/>
        </w:rPr>
      </w:pPr>
    </w:p>
    <w:p w:rsidR="00685D95" w:rsidRDefault="00685D95">
      <w:pPr>
        <w:rPr>
          <w:rFonts w:ascii="黑体" w:eastAsia="黑体" w:hAnsi="黑体" w:hint="eastAsia"/>
          <w:bCs/>
          <w:snapToGrid w:val="0"/>
          <w:kern w:val="0"/>
          <w:sz w:val="28"/>
          <w:szCs w:val="28"/>
        </w:rPr>
      </w:pPr>
    </w:p>
    <w:p w:rsidR="00685D95" w:rsidRDefault="00685D95">
      <w:pPr>
        <w:rPr>
          <w:rFonts w:ascii="黑体" w:eastAsia="黑体" w:hAnsi="黑体"/>
          <w:bCs/>
          <w:snapToGrid w:val="0"/>
          <w:kern w:val="0"/>
          <w:sz w:val="28"/>
          <w:szCs w:val="28"/>
        </w:rPr>
      </w:pPr>
    </w:p>
    <w:p w:rsidR="00FA225B" w:rsidRDefault="00685D95">
      <w:pPr>
        <w:jc w:val="distribute"/>
        <w:rPr>
          <w:rFonts w:ascii="黑体" w:eastAsia="黑体" w:hAnsi="黑体"/>
          <w:bCs/>
          <w:snapToGrid w:val="0"/>
          <w:kern w:val="0"/>
          <w:sz w:val="28"/>
          <w:szCs w:val="28"/>
        </w:rPr>
      </w:pPr>
      <w:r>
        <w:rPr>
          <w:rFonts w:ascii="宋体" w:hAnsi="宋体"/>
          <w:b/>
          <w:noProof/>
          <w:sz w:val="36"/>
          <w:szCs w:val="36"/>
        </w:rPr>
        <mc:AlternateContent>
          <mc:Choice Requires="wps">
            <w:drawing>
              <wp:anchor distT="0" distB="0" distL="114300" distR="114300" simplePos="0" relativeHeight="251658240" behindDoc="0" locked="0" layoutInCell="1" allowOverlap="1" wp14:anchorId="7EEBE632" wp14:editId="3AEB0FD0">
                <wp:simplePos x="0" y="0"/>
                <wp:positionH relativeFrom="page">
                  <wp:posOffset>901065</wp:posOffset>
                </wp:positionH>
                <wp:positionV relativeFrom="page">
                  <wp:posOffset>9064981</wp:posOffset>
                </wp:positionV>
                <wp:extent cx="6120130" cy="0"/>
                <wp:effectExtent l="0" t="0" r="13970" b="1905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直接连接符 2"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95pt,713.8pt" to="552.85pt,7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" strokeweight="1pt">
                <w10:wrap anchorx="page" anchory="page"/>
              </v:line>
            </w:pict>
          </mc:Fallback>
        </mc:AlternateContent>
      </w:r>
      <w:r w:rsidR="007143E2">
        <w:rPr>
          <w:rFonts w:ascii="黑体" w:eastAsia="黑体" w:hAnsi="黑体"/>
          <w:bCs/>
          <w:snapToGrid w:val="0"/>
          <w:kern w:val="0"/>
          <w:sz w:val="28"/>
          <w:szCs w:val="28"/>
        </w:rPr>
        <w:t>202</w:t>
      </w:r>
      <w:r w:rsidR="007143E2">
        <w:rPr>
          <w:rFonts w:ascii="黑体" w:eastAsia="黑体" w:hAnsi="黑体" w:hint="eastAsia"/>
          <w:bCs/>
          <w:snapToGrid w:val="0"/>
          <w:kern w:val="0"/>
          <w:sz w:val="28"/>
          <w:szCs w:val="28"/>
        </w:rPr>
        <w:t>4</w:t>
      </w:r>
      <w:r w:rsidR="007143E2">
        <w:rPr>
          <w:rFonts w:ascii="黑体" w:eastAsia="黑体" w:hAnsi="黑体"/>
          <w:bCs/>
          <w:snapToGrid w:val="0"/>
          <w:kern w:val="0"/>
          <w:sz w:val="28"/>
          <w:szCs w:val="28"/>
        </w:rPr>
        <w:t>－</w:t>
      </w:r>
      <w:r w:rsidR="007143E2">
        <w:rPr>
          <w:rFonts w:ascii="黑体" w:eastAsia="黑体" w:hAnsi="黑体" w:hint="eastAsia"/>
          <w:bCs/>
          <w:snapToGrid w:val="0"/>
          <w:kern w:val="0"/>
          <w:sz w:val="28"/>
          <w:szCs w:val="28"/>
        </w:rPr>
        <w:t>XX</w:t>
      </w:r>
      <w:r w:rsidR="007143E2">
        <w:rPr>
          <w:rFonts w:ascii="黑体" w:eastAsia="黑体" w:hAnsi="黑体"/>
          <w:bCs/>
          <w:snapToGrid w:val="0"/>
          <w:kern w:val="0"/>
          <w:sz w:val="28"/>
          <w:szCs w:val="28"/>
        </w:rPr>
        <w:t>－</w:t>
      </w:r>
      <w:r w:rsidR="007143E2">
        <w:rPr>
          <w:rFonts w:ascii="黑体" w:eastAsia="黑体" w:hAnsi="黑体" w:hint="eastAsia"/>
          <w:bCs/>
          <w:snapToGrid w:val="0"/>
          <w:kern w:val="0"/>
          <w:sz w:val="28"/>
          <w:szCs w:val="28"/>
        </w:rPr>
        <w:t>XX</w:t>
      </w:r>
      <w:r w:rsidR="007143E2">
        <w:rPr>
          <w:rFonts w:ascii="黑体" w:eastAsia="黑体" w:hAnsi="黑体"/>
          <w:bCs/>
          <w:snapToGrid w:val="0"/>
          <w:kern w:val="0"/>
          <w:sz w:val="28"/>
          <w:szCs w:val="28"/>
        </w:rPr>
        <w:t>发布</w:t>
      </w:r>
      <w:r w:rsidR="007143E2">
        <w:rPr>
          <w:rFonts w:ascii="黑体" w:eastAsia="黑体" w:hAnsi="黑体"/>
          <w:bCs/>
          <w:snapToGrid w:val="0"/>
          <w:kern w:val="0"/>
          <w:sz w:val="28"/>
          <w:szCs w:val="28"/>
        </w:rPr>
        <w:t xml:space="preserve">                            202</w:t>
      </w:r>
      <w:r w:rsidR="007143E2">
        <w:rPr>
          <w:rFonts w:ascii="黑体" w:eastAsia="黑体" w:hAnsi="黑体" w:hint="eastAsia"/>
          <w:bCs/>
          <w:snapToGrid w:val="0"/>
          <w:kern w:val="0"/>
          <w:sz w:val="28"/>
          <w:szCs w:val="28"/>
        </w:rPr>
        <w:t>4</w:t>
      </w:r>
      <w:r w:rsidR="007143E2">
        <w:rPr>
          <w:rFonts w:ascii="黑体" w:eastAsia="黑体" w:hAnsi="黑体"/>
          <w:bCs/>
          <w:snapToGrid w:val="0"/>
          <w:kern w:val="0"/>
          <w:sz w:val="28"/>
          <w:szCs w:val="28"/>
        </w:rPr>
        <w:t>－</w:t>
      </w:r>
      <w:r w:rsidR="007143E2">
        <w:rPr>
          <w:rFonts w:ascii="黑体" w:eastAsia="黑体" w:hAnsi="黑体" w:hint="eastAsia"/>
          <w:bCs/>
          <w:snapToGrid w:val="0"/>
          <w:kern w:val="0"/>
          <w:sz w:val="28"/>
          <w:szCs w:val="28"/>
        </w:rPr>
        <w:t>XX</w:t>
      </w:r>
      <w:r w:rsidR="007143E2">
        <w:rPr>
          <w:rFonts w:ascii="黑体" w:eastAsia="黑体" w:hAnsi="黑体"/>
          <w:bCs/>
          <w:snapToGrid w:val="0"/>
          <w:kern w:val="0"/>
          <w:sz w:val="28"/>
          <w:szCs w:val="28"/>
        </w:rPr>
        <w:t>－</w:t>
      </w:r>
      <w:r w:rsidR="007143E2">
        <w:rPr>
          <w:rFonts w:ascii="黑体" w:eastAsia="黑体" w:hAnsi="黑体" w:hint="eastAsia"/>
          <w:bCs/>
          <w:snapToGrid w:val="0"/>
          <w:kern w:val="0"/>
          <w:sz w:val="28"/>
          <w:szCs w:val="28"/>
        </w:rPr>
        <w:t>XX</w:t>
      </w:r>
      <w:r w:rsidR="007143E2">
        <w:rPr>
          <w:rFonts w:ascii="黑体" w:eastAsia="黑体" w:hAnsi="黑体"/>
          <w:bCs/>
          <w:snapToGrid w:val="0"/>
          <w:kern w:val="0"/>
          <w:sz w:val="28"/>
          <w:szCs w:val="28"/>
        </w:rPr>
        <w:t>实施</w:t>
      </w:r>
    </w:p>
    <w:p w:rsidR="00FA225B" w:rsidRDefault="007143E2">
      <w:pPr>
        <w:spacing w:before="284"/>
        <w:jc w:val="center"/>
        <w:rPr>
          <w:color w:val="000000"/>
        </w:rPr>
        <w:sectPr w:rsidR="00FA225B">
          <w:headerReference w:type="even" r:id="rId10"/>
          <w:headerReference w:type="default" r:id="rId11"/>
          <w:headerReference w:type="first" r:id="rId12"/>
          <w:pgSz w:w="11906" w:h="16838"/>
          <w:pgMar w:top="567" w:right="851" w:bottom="1134" w:left="1418" w:header="142" w:footer="833" w:gutter="0"/>
          <w:cols w:space="720"/>
          <w:docGrid w:type="lines" w:linePitch="312"/>
        </w:sectPr>
      </w:pPr>
      <w:r>
        <w:rPr>
          <w:rFonts w:ascii="宋体" w:hAnsi="宋体"/>
          <w:b/>
          <w:bCs/>
          <w:snapToGrid w:val="0"/>
          <w:kern w:val="0"/>
          <w:sz w:val="36"/>
          <w:szCs w:val="36"/>
        </w:rPr>
        <w:t>江苏省</w:t>
      </w:r>
      <w:r>
        <w:rPr>
          <w:rFonts w:ascii="宋体" w:hAnsi="宋体" w:hint="eastAsia"/>
          <w:b/>
          <w:bCs/>
          <w:snapToGrid w:val="0"/>
          <w:kern w:val="0"/>
          <w:sz w:val="36"/>
          <w:szCs w:val="36"/>
        </w:rPr>
        <w:t>市场监督管理局</w:t>
      </w:r>
      <w:r>
        <w:rPr>
          <w:rFonts w:eastAsia="黑体"/>
          <w:bCs/>
          <w:snapToGrid w:val="0"/>
          <w:kern w:val="0"/>
          <w:sz w:val="28"/>
          <w:szCs w:val="28"/>
        </w:rPr>
        <w:t xml:space="preserve">  </w:t>
      </w:r>
      <w:r>
        <w:rPr>
          <w:rFonts w:eastAsia="黑体"/>
          <w:bCs/>
          <w:snapToGrid w:val="0"/>
          <w:kern w:val="0"/>
          <w:sz w:val="28"/>
          <w:szCs w:val="28"/>
        </w:rPr>
        <w:t>发</w:t>
      </w:r>
      <w:r>
        <w:rPr>
          <w:rFonts w:eastAsia="黑体"/>
          <w:bCs/>
          <w:snapToGrid w:val="0"/>
          <w:kern w:val="0"/>
          <w:sz w:val="28"/>
          <w:szCs w:val="28"/>
        </w:rPr>
        <w:t xml:space="preserve"> </w:t>
      </w:r>
      <w:r>
        <w:rPr>
          <w:rFonts w:eastAsia="黑体"/>
          <w:bCs/>
          <w:snapToGrid w:val="0"/>
          <w:kern w:val="0"/>
          <w:sz w:val="28"/>
          <w:szCs w:val="28"/>
        </w:rPr>
        <w:t>布</w:t>
      </w:r>
    </w:p>
    <w:p w:rsidR="00FA225B" w:rsidRDefault="007143E2" w:rsidP="00685D95">
      <w:pPr>
        <w:pStyle w:val="af6"/>
        <w:spacing w:line="360" w:lineRule="auto"/>
        <w:ind w:firstLine="640"/>
        <w:jc w:val="center"/>
        <w:rPr>
          <w:rFonts w:ascii="黑体" w:eastAsia="黑体" w:hAnsi="黑体"/>
          <w:sz w:val="32"/>
          <w:lang w:val="zh-CN"/>
        </w:rPr>
      </w:pPr>
      <w:bookmarkStart w:id="0" w:name="_Toc1964"/>
      <w:bookmarkStart w:id="1" w:name="_Toc21032"/>
      <w:bookmarkStart w:id="2" w:name="_Toc10940"/>
      <w:bookmarkStart w:id="3" w:name="_Toc31371"/>
      <w:bookmarkStart w:id="4" w:name="_Toc24747"/>
      <w:bookmarkStart w:id="5" w:name="_Toc14635"/>
      <w:bookmarkStart w:id="6" w:name="_Toc3520"/>
      <w:r>
        <w:rPr>
          <w:rFonts w:ascii="黑体" w:eastAsia="黑体" w:hAnsi="黑体" w:hint="eastAsia"/>
          <w:sz w:val="32"/>
          <w:lang w:val="zh-CN"/>
        </w:rPr>
        <w:lastRenderedPageBreak/>
        <w:t>目</w:t>
      </w:r>
      <w:r>
        <w:rPr>
          <w:rFonts w:ascii="黑体" w:eastAsia="黑体" w:hAnsi="黑体" w:hint="eastAsia"/>
          <w:sz w:val="32"/>
          <w:lang w:val="zh-CN"/>
        </w:rPr>
        <w:t xml:space="preserve">    </w:t>
      </w:r>
      <w:r>
        <w:rPr>
          <w:rFonts w:ascii="黑体" w:eastAsia="黑体" w:hAnsi="黑体" w:hint="eastAsia"/>
          <w:sz w:val="32"/>
          <w:lang w:val="zh-CN"/>
        </w:rPr>
        <w:t>次</w:t>
      </w:r>
      <w:bookmarkEnd w:id="0"/>
      <w:bookmarkEnd w:id="1"/>
      <w:bookmarkEnd w:id="2"/>
      <w:bookmarkEnd w:id="3"/>
      <w:bookmarkEnd w:id="4"/>
      <w:bookmarkEnd w:id="5"/>
      <w:bookmarkEnd w:id="6"/>
    </w:p>
    <w:p w:rsidR="00FA225B" w:rsidRDefault="007143E2">
      <w:pPr>
        <w:pStyle w:val="10"/>
        <w:tabs>
          <w:tab w:val="clear" w:pos="9344"/>
          <w:tab w:val="right" w:leader="dot" w:pos="9354"/>
        </w:tabs>
        <w:rPr>
          <w:szCs w:val="21"/>
        </w:rPr>
      </w:pPr>
      <w:hyperlink w:anchor="_Toc29552" w:history="1">
        <w:r>
          <w:rPr>
            <w:rFonts w:hAnsi="黑体" w:hint="eastAsia"/>
          </w:rPr>
          <w:t>目</w:t>
        </w:r>
        <w:r>
          <w:rPr>
            <w:rFonts w:hAnsi="黑体" w:cs="MS Mincho" w:hint="eastAsia"/>
          </w:rPr>
          <w:t>  </w:t>
        </w:r>
        <w:r>
          <w:rPr>
            <w:rFonts w:hAnsi="黑体" w:hint="eastAsia"/>
          </w:rPr>
          <w:t>次</w:t>
        </w:r>
        <w:r>
          <w:tab/>
        </w:r>
        <w:r>
          <w:rPr>
            <w:rFonts w:hint="eastAsia"/>
          </w:rPr>
          <w:t>I</w:t>
        </w:r>
      </w:hyperlink>
      <w:r>
        <w:rPr>
          <w:szCs w:val="21"/>
        </w:rPr>
        <w:fldChar w:fldCharType="begin"/>
      </w:r>
      <w:r>
        <w:rPr>
          <w:szCs w:val="21"/>
        </w:rPr>
        <w:instrText xml:space="preserve">TOC \o "1-1" \h \u </w:instrText>
      </w:r>
      <w:r>
        <w:rPr>
          <w:szCs w:val="21"/>
        </w:rPr>
        <w:fldChar w:fldCharType="separate"/>
      </w:r>
    </w:p>
    <w:p w:rsidR="00FA225B" w:rsidRDefault="007143E2">
      <w:pPr>
        <w:pStyle w:val="10"/>
        <w:tabs>
          <w:tab w:val="clear" w:pos="9344"/>
          <w:tab w:val="right" w:leader="dot" w:pos="9354"/>
        </w:tabs>
      </w:pPr>
      <w:hyperlink w:anchor="_Toc29552" w:history="1">
        <w:r>
          <w:rPr>
            <w:rFonts w:hAnsi="黑体" w:hint="eastAsia"/>
          </w:rPr>
          <w:t>前</w:t>
        </w:r>
        <w:r>
          <w:rPr>
            <w:rFonts w:hAnsi="黑体" w:cs="MS Mincho" w:hint="eastAsia"/>
          </w:rPr>
          <w:t>  </w:t>
        </w:r>
        <w:r>
          <w:rPr>
            <w:rFonts w:hAnsi="黑体" w:hint="eastAsia"/>
          </w:rPr>
          <w:t>言</w:t>
        </w:r>
        <w:r>
          <w:tab/>
        </w:r>
        <w:r>
          <w:fldChar w:fldCharType="begin"/>
        </w:r>
        <w:r>
          <w:instrText xml:space="preserve"> PAGEREF _Toc29552 \h </w:instrText>
        </w:r>
        <w:r>
          <w:fldChar w:fldCharType="separate"/>
        </w:r>
        <w:r>
          <w:t>II</w:t>
        </w:r>
        <w:r>
          <w:fldChar w:fldCharType="end"/>
        </w:r>
      </w:hyperlink>
    </w:p>
    <w:p w:rsidR="00FA225B" w:rsidRDefault="007143E2">
      <w:pPr>
        <w:pStyle w:val="10"/>
        <w:tabs>
          <w:tab w:val="clear" w:pos="9344"/>
          <w:tab w:val="right" w:leader="dot" w:pos="9354"/>
        </w:tabs>
      </w:pPr>
      <w:hyperlink w:anchor="_Toc4553" w:history="1">
        <w:r>
          <w:rPr>
            <w:rFonts w:ascii="黑体" w:eastAsia="黑体" w:hAnsi="黑体" w:cs="黑体"/>
            <w:szCs w:val="21"/>
          </w:rPr>
          <w:t xml:space="preserve">1 </w:t>
        </w:r>
        <w:r>
          <w:t>范围</w:t>
        </w:r>
        <w:r>
          <w:tab/>
        </w:r>
        <w:r>
          <w:fldChar w:fldCharType="begin"/>
        </w:r>
        <w:r>
          <w:instrText xml:space="preserve"> PAGEREF _Toc4553 \h </w:instrText>
        </w:r>
        <w:r>
          <w:fldChar w:fldCharType="separate"/>
        </w:r>
        <w:r>
          <w:t>1</w:t>
        </w:r>
        <w:r>
          <w:fldChar w:fldCharType="end"/>
        </w:r>
      </w:hyperlink>
    </w:p>
    <w:p w:rsidR="00FA225B" w:rsidRDefault="007143E2">
      <w:pPr>
        <w:pStyle w:val="10"/>
        <w:tabs>
          <w:tab w:val="clear" w:pos="9344"/>
          <w:tab w:val="right" w:leader="dot" w:pos="9354"/>
        </w:tabs>
      </w:pPr>
      <w:hyperlink w:anchor="_Toc26569" w:history="1">
        <w:r>
          <w:rPr>
            <w:rFonts w:ascii="黑体" w:eastAsia="黑体" w:hAnsi="黑体" w:cs="黑体"/>
            <w:szCs w:val="21"/>
          </w:rPr>
          <w:t xml:space="preserve">2 </w:t>
        </w:r>
        <w:r>
          <w:t>规范性引用文件</w:t>
        </w:r>
        <w:r>
          <w:tab/>
        </w:r>
        <w:r>
          <w:fldChar w:fldCharType="begin"/>
        </w:r>
        <w:r>
          <w:instrText xml:space="preserve"> PAGEREF _Toc26569 \h </w:instrText>
        </w:r>
        <w:r>
          <w:fldChar w:fldCharType="separate"/>
        </w:r>
        <w:r>
          <w:t>1</w:t>
        </w:r>
        <w:r>
          <w:fldChar w:fldCharType="end"/>
        </w:r>
      </w:hyperlink>
    </w:p>
    <w:p w:rsidR="00FA225B" w:rsidRDefault="007143E2">
      <w:pPr>
        <w:pStyle w:val="10"/>
        <w:tabs>
          <w:tab w:val="clear" w:pos="9344"/>
          <w:tab w:val="right" w:leader="dot" w:pos="9354"/>
        </w:tabs>
      </w:pPr>
      <w:hyperlink w:anchor="_Toc28251" w:history="1">
        <w:r>
          <w:rPr>
            <w:rFonts w:ascii="黑体" w:eastAsia="黑体" w:hAnsi="黑体" w:cs="黑体"/>
            <w:szCs w:val="21"/>
          </w:rPr>
          <w:t xml:space="preserve">3 </w:t>
        </w:r>
        <w:r>
          <w:rPr>
            <w:rFonts w:hint="eastAsia"/>
          </w:rPr>
          <w:t>术语和定义</w:t>
        </w:r>
        <w:r>
          <w:tab/>
        </w:r>
        <w:r>
          <w:fldChar w:fldCharType="begin"/>
        </w:r>
        <w:r>
          <w:instrText xml:space="preserve"> PAGEREF _Toc28251 \h </w:instrText>
        </w:r>
        <w:r>
          <w:fldChar w:fldCharType="separate"/>
        </w:r>
        <w:r>
          <w:t>1</w:t>
        </w:r>
        <w:r>
          <w:fldChar w:fldCharType="end"/>
        </w:r>
      </w:hyperlink>
    </w:p>
    <w:p w:rsidR="00FA225B" w:rsidRDefault="007143E2">
      <w:pPr>
        <w:pStyle w:val="10"/>
        <w:tabs>
          <w:tab w:val="clear" w:pos="9344"/>
          <w:tab w:val="right" w:leader="dot" w:pos="9354"/>
        </w:tabs>
      </w:pPr>
      <w:hyperlink w:anchor="_Toc12964" w:history="1">
        <w:r>
          <w:rPr>
            <w:rFonts w:ascii="黑体" w:eastAsia="黑体" w:hAnsi="黑体" w:cs="黑体"/>
            <w:szCs w:val="21"/>
          </w:rPr>
          <w:t xml:space="preserve">4 </w:t>
        </w:r>
        <w:r>
          <w:rPr>
            <w:rFonts w:hint="eastAsia"/>
          </w:rPr>
          <w:t>原料与</w:t>
        </w:r>
        <w:r>
          <w:rPr>
            <w:rFonts w:hint="eastAsia"/>
            <w:szCs w:val="21"/>
          </w:rPr>
          <w:t>要求</w:t>
        </w:r>
        <w:r>
          <w:tab/>
        </w:r>
        <w:r>
          <w:fldChar w:fldCharType="begin"/>
        </w:r>
        <w:r>
          <w:instrText xml:space="preserve"> PAGEREF _Toc12964 \h </w:instrText>
        </w:r>
        <w:r>
          <w:fldChar w:fldCharType="separate"/>
        </w:r>
        <w:r>
          <w:t>2</w:t>
        </w:r>
        <w:r>
          <w:fldChar w:fldCharType="end"/>
        </w:r>
      </w:hyperlink>
    </w:p>
    <w:p w:rsidR="00FA225B" w:rsidRDefault="007143E2">
      <w:pPr>
        <w:pStyle w:val="10"/>
        <w:tabs>
          <w:tab w:val="clear" w:pos="9344"/>
          <w:tab w:val="right" w:leader="dot" w:pos="9354"/>
        </w:tabs>
      </w:pPr>
      <w:hyperlink w:anchor="_Toc18622" w:history="1">
        <w:r>
          <w:rPr>
            <w:rFonts w:ascii="黑体" w:eastAsia="黑体" w:hAnsi="黑体" w:cs="黑体"/>
            <w:szCs w:val="21"/>
          </w:rPr>
          <w:t xml:space="preserve">5 </w:t>
        </w:r>
        <w:r>
          <w:rPr>
            <w:rFonts w:hint="eastAsia"/>
            <w:szCs w:val="21"/>
          </w:rPr>
          <w:t>生产工艺</w:t>
        </w:r>
        <w:r>
          <w:tab/>
        </w:r>
        <w:r>
          <w:fldChar w:fldCharType="begin"/>
        </w:r>
        <w:r>
          <w:instrText xml:space="preserve"> PAGEREF _Toc18622 \h </w:instrText>
        </w:r>
        <w:r>
          <w:fldChar w:fldCharType="separate"/>
        </w:r>
        <w:r>
          <w:t>2</w:t>
        </w:r>
        <w:r>
          <w:fldChar w:fldCharType="end"/>
        </w:r>
      </w:hyperlink>
    </w:p>
    <w:p w:rsidR="00FA225B" w:rsidRDefault="007143E2">
      <w:pPr>
        <w:pStyle w:val="10"/>
        <w:tabs>
          <w:tab w:val="clear" w:pos="9344"/>
          <w:tab w:val="right" w:leader="dot" w:pos="9354"/>
        </w:tabs>
      </w:pPr>
      <w:hyperlink w:anchor="_Toc23742" w:history="1">
        <w:r>
          <w:rPr>
            <w:rFonts w:ascii="黑体" w:eastAsia="黑体" w:hAnsi="黑体" w:cs="黑体"/>
            <w:szCs w:val="21"/>
          </w:rPr>
          <w:t xml:space="preserve">6 </w:t>
        </w:r>
        <w:r>
          <w:rPr>
            <w:rFonts w:hint="eastAsia"/>
            <w:szCs w:val="21"/>
          </w:rPr>
          <w:t>腐熟</w:t>
        </w:r>
        <w:r>
          <w:rPr>
            <w:rFonts w:hint="eastAsia"/>
            <w:szCs w:val="21"/>
          </w:rPr>
          <w:t>度</w:t>
        </w:r>
        <w:r>
          <w:rPr>
            <w:rFonts w:hint="eastAsia"/>
            <w:szCs w:val="21"/>
          </w:rPr>
          <w:t>判定</w:t>
        </w:r>
        <w:r>
          <w:tab/>
        </w:r>
        <w:r>
          <w:fldChar w:fldCharType="begin"/>
        </w:r>
        <w:r>
          <w:instrText xml:space="preserve"> PAGEREF _Toc23742 \h </w:instrText>
        </w:r>
        <w:r>
          <w:fldChar w:fldCharType="separate"/>
        </w:r>
        <w:r>
          <w:t>3</w:t>
        </w:r>
        <w:r>
          <w:fldChar w:fldCharType="end"/>
        </w:r>
      </w:hyperlink>
    </w:p>
    <w:p w:rsidR="00FA225B" w:rsidRDefault="007143E2">
      <w:pPr>
        <w:pStyle w:val="10"/>
        <w:tabs>
          <w:tab w:val="clear" w:pos="9344"/>
          <w:tab w:val="right" w:leader="dot" w:pos="9354"/>
        </w:tabs>
      </w:pPr>
      <w:hyperlink w:anchor="_Toc24646" w:history="1">
        <w:r>
          <w:rPr>
            <w:rFonts w:ascii="黑体" w:eastAsia="黑体" w:hAnsi="黑体" w:cs="黑体"/>
            <w:szCs w:val="21"/>
          </w:rPr>
          <w:t xml:space="preserve">7 </w:t>
        </w:r>
        <w:r>
          <w:rPr>
            <w:rFonts w:hint="eastAsia"/>
            <w:szCs w:val="21"/>
          </w:rPr>
          <w:t>筛分</w:t>
        </w:r>
        <w:r>
          <w:tab/>
        </w:r>
        <w:r>
          <w:fldChar w:fldCharType="begin"/>
        </w:r>
        <w:r>
          <w:instrText xml:space="preserve"> PAGEREF _Toc24646 \h </w:instrText>
        </w:r>
        <w:r>
          <w:fldChar w:fldCharType="separate"/>
        </w:r>
        <w:r>
          <w:t>3</w:t>
        </w:r>
        <w:r>
          <w:fldChar w:fldCharType="end"/>
        </w:r>
      </w:hyperlink>
    </w:p>
    <w:p w:rsidR="00FA225B" w:rsidRDefault="007143E2">
      <w:pPr>
        <w:pStyle w:val="10"/>
        <w:tabs>
          <w:tab w:val="clear" w:pos="9344"/>
          <w:tab w:val="right" w:leader="dot" w:pos="9354"/>
        </w:tabs>
      </w:pPr>
      <w:hyperlink w:anchor="_Toc4042" w:history="1">
        <w:r>
          <w:rPr>
            <w:rFonts w:ascii="黑体" w:eastAsia="黑体" w:hAnsi="黑体" w:cs="黑体"/>
            <w:szCs w:val="21"/>
          </w:rPr>
          <w:t xml:space="preserve">8 </w:t>
        </w:r>
        <w:r>
          <w:rPr>
            <w:rFonts w:hint="eastAsia"/>
            <w:szCs w:val="21"/>
          </w:rPr>
          <w:t>标志、包装</w:t>
        </w:r>
        <w:r>
          <w:rPr>
            <w:rFonts w:hint="eastAsia"/>
            <w:szCs w:val="21"/>
          </w:rPr>
          <w:t>、</w:t>
        </w:r>
        <w:r>
          <w:rPr>
            <w:rFonts w:hint="eastAsia"/>
            <w:szCs w:val="21"/>
          </w:rPr>
          <w:t>运输</w:t>
        </w:r>
        <w:r>
          <w:rPr>
            <w:rFonts w:hint="eastAsia"/>
            <w:szCs w:val="21"/>
          </w:rPr>
          <w:t>和</w:t>
        </w:r>
        <w:r>
          <w:rPr>
            <w:rStyle w:val="af3"/>
          </w:rPr>
          <w:t>贮存</w:t>
        </w:r>
      </w:hyperlink>
      <w:r>
        <w:tab/>
      </w:r>
      <w:r>
        <w:rPr>
          <w:rFonts w:hint="eastAsia"/>
        </w:rPr>
        <w:t>3</w:t>
      </w:r>
    </w:p>
    <w:p w:rsidR="00FA225B" w:rsidRDefault="007143E2">
      <w:pPr>
        <w:pStyle w:val="10"/>
        <w:tabs>
          <w:tab w:val="clear" w:pos="9344"/>
          <w:tab w:val="right" w:leader="dot" w:pos="9354"/>
        </w:tabs>
      </w:pPr>
      <w:hyperlink w:anchor="_Toc10454" w:history="1"/>
    </w:p>
    <w:p w:rsidR="00FA225B" w:rsidRDefault="007143E2">
      <w:pPr>
        <w:tabs>
          <w:tab w:val="center" w:pos="4201"/>
          <w:tab w:val="right" w:leader="dot" w:pos="9298"/>
        </w:tabs>
        <w:spacing w:line="360" w:lineRule="auto"/>
        <w:rPr>
          <w:rFonts w:hAnsi="黑体"/>
        </w:rPr>
      </w:pPr>
      <w:r>
        <w:rPr>
          <w:szCs w:val="21"/>
        </w:rPr>
        <w:fldChar w:fldCharType="end"/>
      </w:r>
    </w:p>
    <w:p w:rsidR="00FA225B" w:rsidRDefault="007143E2">
      <w:pPr>
        <w:pStyle w:val="af5"/>
        <w:spacing w:before="567" w:after="680"/>
        <w:rPr>
          <w:rFonts w:hAnsi="黑体"/>
        </w:rPr>
      </w:pPr>
      <w:bookmarkStart w:id="7" w:name="_Toc15414"/>
      <w:bookmarkStart w:id="8" w:name="_Toc12133"/>
      <w:bookmarkStart w:id="9" w:name="_Toc29552"/>
      <w:bookmarkStart w:id="10" w:name="_Toc15683"/>
      <w:bookmarkStart w:id="11" w:name="_Toc14563"/>
      <w:bookmarkStart w:id="12" w:name="_Toc20517"/>
      <w:r>
        <w:rPr>
          <w:rFonts w:hAnsi="黑体" w:hint="eastAsia"/>
        </w:rPr>
        <w:lastRenderedPageBreak/>
        <w:t>前</w:t>
      </w:r>
      <w:bookmarkStart w:id="13" w:name="BKQY"/>
      <w:r>
        <w:rPr>
          <w:rFonts w:hAnsi="黑体" w:cs="MS Mincho" w:hint="eastAsia"/>
        </w:rPr>
        <w:t>  </w:t>
      </w:r>
      <w:r>
        <w:rPr>
          <w:rFonts w:hAnsi="黑体" w:hint="eastAsia"/>
        </w:rPr>
        <w:t>言</w:t>
      </w:r>
      <w:bookmarkEnd w:id="7"/>
      <w:bookmarkEnd w:id="8"/>
      <w:bookmarkEnd w:id="9"/>
      <w:bookmarkEnd w:id="10"/>
      <w:bookmarkEnd w:id="11"/>
      <w:bookmarkEnd w:id="12"/>
      <w:bookmarkEnd w:id="13"/>
    </w:p>
    <w:p w:rsidR="00FA225B" w:rsidRDefault="007143E2">
      <w:pPr>
        <w:spacing w:line="360" w:lineRule="exact"/>
        <w:ind w:firstLineChars="200" w:firstLine="420"/>
      </w:pPr>
      <w:r>
        <w:rPr>
          <w:rFonts w:hint="eastAsia"/>
        </w:rPr>
        <w:t>本文件按照</w:t>
      </w:r>
      <w:r>
        <w:rPr>
          <w:rFonts w:hint="eastAsia"/>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w:t>
      </w:r>
      <w:r>
        <w:rPr>
          <w:rFonts w:hint="eastAsia"/>
        </w:rPr>
        <w:t>定起草</w:t>
      </w:r>
      <w:r>
        <w:rPr>
          <w:rFonts w:hint="eastAsia"/>
        </w:rPr>
        <w:t>。</w:t>
      </w:r>
    </w:p>
    <w:p w:rsidR="00FA225B" w:rsidRDefault="007143E2">
      <w:pPr>
        <w:spacing w:line="360" w:lineRule="exact"/>
        <w:ind w:firstLineChars="200" w:firstLine="420"/>
      </w:pPr>
      <w:r>
        <w:rPr>
          <w:rFonts w:hint="eastAsia"/>
        </w:rPr>
        <w:t>请注意本文件的某些内容可能涉及专利。本文件的发布机构不承担识别专利的责任。</w:t>
      </w:r>
    </w:p>
    <w:p w:rsidR="00FA225B" w:rsidRDefault="007143E2">
      <w:pPr>
        <w:spacing w:line="360" w:lineRule="exact"/>
        <w:ind w:firstLineChars="200" w:firstLine="420"/>
      </w:pPr>
      <w:r>
        <w:rPr>
          <w:rFonts w:hint="eastAsia"/>
        </w:rPr>
        <w:t>本文件由</w:t>
      </w:r>
      <w:r>
        <w:rPr>
          <w:rFonts w:hint="eastAsia"/>
          <w:u w:val="single"/>
        </w:rPr>
        <w:t xml:space="preserve">    </w:t>
      </w:r>
      <w:r>
        <w:rPr>
          <w:rFonts w:hint="eastAsia"/>
          <w:u w:val="single"/>
        </w:rPr>
        <w:t>南京工业大学</w:t>
      </w:r>
      <w:r>
        <w:rPr>
          <w:rFonts w:hint="eastAsia"/>
          <w:u w:val="single"/>
        </w:rPr>
        <w:t xml:space="preserve">   </w:t>
      </w:r>
      <w:r>
        <w:rPr>
          <w:rFonts w:hint="eastAsia"/>
          <w:u w:val="single"/>
        </w:rPr>
        <w:t>提出</w:t>
      </w:r>
      <w:r>
        <w:rPr>
          <w:rFonts w:hint="eastAsia"/>
        </w:rPr>
        <w:t>，由江苏省园艺标准化技术委员会</w:t>
      </w:r>
      <w:r>
        <w:rPr>
          <w:rFonts w:hint="eastAsia"/>
        </w:rPr>
        <w:t>归口。</w:t>
      </w:r>
    </w:p>
    <w:p w:rsidR="00FA225B" w:rsidRDefault="007143E2">
      <w:pPr>
        <w:spacing w:line="360" w:lineRule="exact"/>
        <w:ind w:firstLineChars="200" w:firstLine="420"/>
      </w:pPr>
      <w:r>
        <w:rPr>
          <w:rFonts w:hint="eastAsia"/>
        </w:rPr>
        <w:t>本文件起草单位：</w:t>
      </w:r>
      <w:r w:rsidRPr="00685D95">
        <w:rPr>
          <w:rFonts w:hint="eastAsia"/>
        </w:rPr>
        <w:t xml:space="preserve"> </w:t>
      </w:r>
      <w:r w:rsidRPr="00685D95">
        <w:rPr>
          <w:rFonts w:hint="eastAsia"/>
        </w:rPr>
        <w:t>南京工业大学、江苏省农科院、南</w:t>
      </w:r>
      <w:r w:rsidR="00685D95" w:rsidRPr="00685D95">
        <w:rPr>
          <w:rFonts w:hint="eastAsia"/>
        </w:rPr>
        <w:t>京农业大学、兰州大学、南京师范大学、徐州</w:t>
      </w:r>
      <w:proofErr w:type="gramStart"/>
      <w:r w:rsidR="00685D95" w:rsidRPr="00685D95">
        <w:rPr>
          <w:rFonts w:hint="eastAsia"/>
        </w:rPr>
        <w:t>市环能生态</w:t>
      </w:r>
      <w:proofErr w:type="gramEnd"/>
      <w:r w:rsidR="00685D95" w:rsidRPr="00685D95">
        <w:rPr>
          <w:rFonts w:hint="eastAsia"/>
        </w:rPr>
        <w:t>技术有限公司</w:t>
      </w:r>
      <w:r>
        <w:rPr>
          <w:rFonts w:hint="eastAsia"/>
        </w:rPr>
        <w:t>。</w:t>
      </w:r>
    </w:p>
    <w:p w:rsidR="00FA225B" w:rsidRDefault="007143E2">
      <w:pPr>
        <w:spacing w:line="360" w:lineRule="exact"/>
        <w:ind w:firstLineChars="200" w:firstLine="420"/>
      </w:pPr>
      <w:r>
        <w:rPr>
          <w:rFonts w:hint="eastAsia"/>
        </w:rPr>
        <w:t>本标准主要起草人：周俊、奚永兰、叶小梅、贾红华、苗晓、</w:t>
      </w:r>
      <w:proofErr w:type="gramStart"/>
      <w:r>
        <w:rPr>
          <w:rFonts w:hint="eastAsia"/>
        </w:rPr>
        <w:t>雍</w:t>
      </w:r>
      <w:proofErr w:type="gramEnd"/>
      <w:r>
        <w:rPr>
          <w:rFonts w:hint="eastAsia"/>
        </w:rPr>
        <w:t>晓雨、凌宁、王秋君、张楠、黄新</w:t>
      </w:r>
      <w:r>
        <w:rPr>
          <w:rFonts w:hint="eastAsia"/>
        </w:rPr>
        <w:t xml:space="preserve"> </w:t>
      </w:r>
    </w:p>
    <w:p w:rsidR="00FA225B" w:rsidRDefault="007143E2">
      <w:pPr>
        <w:spacing w:line="360" w:lineRule="exact"/>
      </w:pPr>
      <w:r>
        <w:rPr>
          <w:rFonts w:hint="eastAsia"/>
        </w:rPr>
        <w:t>琦、杨朋朋。</w:t>
      </w: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ind w:firstLineChars="200" w:firstLine="420"/>
      </w:pPr>
    </w:p>
    <w:p w:rsidR="00FA225B" w:rsidRDefault="00FA225B">
      <w:pPr>
        <w:spacing w:line="360" w:lineRule="exact"/>
      </w:pPr>
    </w:p>
    <w:p w:rsidR="00FA225B" w:rsidRDefault="00FA225B">
      <w:pPr>
        <w:spacing w:line="360" w:lineRule="exact"/>
        <w:sectPr w:rsidR="00FA225B">
          <w:headerReference w:type="default" r:id="rId13"/>
          <w:footerReference w:type="even" r:id="rId14"/>
          <w:footerReference w:type="default" r:id="rId15"/>
          <w:footerReference w:type="first" r:id="rId16"/>
          <w:pgSz w:w="11906" w:h="16838"/>
          <w:pgMar w:top="1418" w:right="1134" w:bottom="1134" w:left="1418" w:header="1418" w:footer="894" w:gutter="0"/>
          <w:pgNumType w:fmt="upperRoman" w:start="1"/>
          <w:cols w:space="720"/>
          <w:titlePg/>
          <w:docGrid w:type="lines" w:linePitch="312"/>
        </w:sectPr>
      </w:pPr>
    </w:p>
    <w:p w:rsidR="00FA225B" w:rsidRDefault="007143E2">
      <w:pPr>
        <w:pStyle w:val="af7"/>
        <w:spacing w:before="567" w:after="680" w:line="240" w:lineRule="auto"/>
      </w:pPr>
      <w:bookmarkStart w:id="14" w:name="_Toc27170"/>
      <w:r>
        <w:rPr>
          <w:rFonts w:hint="eastAsia"/>
        </w:rPr>
        <w:lastRenderedPageBreak/>
        <w:t>沼液生物固化清洁工艺技术</w:t>
      </w:r>
      <w:bookmarkEnd w:id="14"/>
      <w:r>
        <w:rPr>
          <w:rFonts w:hint="eastAsia"/>
        </w:rPr>
        <w:t>规范</w:t>
      </w:r>
    </w:p>
    <w:p w:rsidR="00FA225B" w:rsidRDefault="007143E2">
      <w:pPr>
        <w:pStyle w:val="a5"/>
        <w:outlineLvl w:val="0"/>
        <w:rPr>
          <w:b/>
          <w:bCs/>
        </w:rPr>
      </w:pPr>
      <w:bookmarkStart w:id="15" w:name="_Toc8005"/>
      <w:bookmarkStart w:id="16" w:name="_Toc498353189"/>
      <w:bookmarkStart w:id="17" w:name="_Toc4553"/>
      <w:bookmarkStart w:id="18" w:name="_Toc10562"/>
      <w:bookmarkStart w:id="19" w:name="_Toc26694"/>
      <w:bookmarkStart w:id="20" w:name="_Toc14087"/>
      <w:bookmarkStart w:id="21" w:name="_Toc21458"/>
      <w:bookmarkStart w:id="22" w:name="_Toc3985"/>
      <w:bookmarkStart w:id="23" w:name="_Toc62542761"/>
      <w:r>
        <w:rPr>
          <w:b/>
          <w:bCs/>
        </w:rPr>
        <w:t>范围</w:t>
      </w:r>
      <w:bookmarkEnd w:id="15"/>
      <w:bookmarkEnd w:id="16"/>
      <w:bookmarkEnd w:id="17"/>
      <w:bookmarkEnd w:id="18"/>
      <w:bookmarkEnd w:id="19"/>
      <w:bookmarkEnd w:id="20"/>
      <w:bookmarkEnd w:id="21"/>
      <w:bookmarkEnd w:id="22"/>
      <w:bookmarkEnd w:id="23"/>
    </w:p>
    <w:p w:rsidR="00FA225B" w:rsidRDefault="007143E2">
      <w:pPr>
        <w:pStyle w:val="afa"/>
        <w:ind w:firstLine="420"/>
        <w:rPr>
          <w:highlight w:val="yellow"/>
        </w:rPr>
      </w:pPr>
      <w:r>
        <w:rPr>
          <w:rFonts w:hint="eastAsia"/>
        </w:rPr>
        <w:t>本文件规定了沼液生物固化清洁工艺技术的原料</w:t>
      </w:r>
      <w:r>
        <w:rPr>
          <w:rFonts w:hint="eastAsia"/>
        </w:rPr>
        <w:t>和</w:t>
      </w:r>
      <w:r>
        <w:rPr>
          <w:rFonts w:hint="eastAsia"/>
        </w:rPr>
        <w:t>要求</w:t>
      </w:r>
      <w:r>
        <w:rPr>
          <w:rFonts w:hint="eastAsia"/>
        </w:rPr>
        <w:t>，</w:t>
      </w:r>
      <w:r>
        <w:rPr>
          <w:rFonts w:hint="eastAsia"/>
        </w:rPr>
        <w:t>生产工艺</w:t>
      </w:r>
      <w:r>
        <w:rPr>
          <w:rFonts w:hint="eastAsia"/>
        </w:rPr>
        <w:t>，</w:t>
      </w:r>
      <w:r>
        <w:rPr>
          <w:rFonts w:hint="eastAsia"/>
        </w:rPr>
        <w:t>腐熟</w:t>
      </w:r>
      <w:r>
        <w:rPr>
          <w:rFonts w:hint="eastAsia"/>
        </w:rPr>
        <w:t>度</w:t>
      </w:r>
      <w:r>
        <w:rPr>
          <w:rFonts w:hint="eastAsia"/>
        </w:rPr>
        <w:t>判定</w:t>
      </w:r>
      <w:r>
        <w:rPr>
          <w:rFonts w:hint="eastAsia"/>
        </w:rPr>
        <w:t>，</w:t>
      </w:r>
      <w:r>
        <w:rPr>
          <w:rFonts w:hint="eastAsia"/>
        </w:rPr>
        <w:t>筛分</w:t>
      </w:r>
      <w:r>
        <w:rPr>
          <w:rFonts w:hint="eastAsia"/>
        </w:rPr>
        <w:t>，</w:t>
      </w:r>
      <w:r>
        <w:rPr>
          <w:rFonts w:hint="eastAsia"/>
        </w:rPr>
        <w:t>标志、包装、运输和贮存。</w:t>
      </w:r>
    </w:p>
    <w:p w:rsidR="00FA225B" w:rsidRDefault="007143E2">
      <w:pPr>
        <w:pStyle w:val="afa"/>
        <w:ind w:firstLine="420"/>
      </w:pPr>
      <w:r>
        <w:rPr>
          <w:rFonts w:hint="eastAsia"/>
        </w:rPr>
        <w:t>本文件适用于以畜禽粪便、秸秆等农</w:t>
      </w:r>
      <w:r>
        <w:rPr>
          <w:rFonts w:hint="eastAsia"/>
        </w:rPr>
        <w:t>林</w:t>
      </w:r>
      <w:r>
        <w:rPr>
          <w:rFonts w:hint="eastAsia"/>
        </w:rPr>
        <w:t>业</w:t>
      </w:r>
      <w:r>
        <w:rPr>
          <w:rFonts w:hint="eastAsia"/>
        </w:rPr>
        <w:t>有机</w:t>
      </w:r>
      <w:r>
        <w:rPr>
          <w:rFonts w:hint="eastAsia"/>
        </w:rPr>
        <w:t>废弃物</w:t>
      </w:r>
      <w:r>
        <w:rPr>
          <w:rFonts w:hint="eastAsia"/>
        </w:rPr>
        <w:t>及下脚料</w:t>
      </w:r>
      <w:r>
        <w:rPr>
          <w:rFonts w:hint="eastAsia"/>
        </w:rPr>
        <w:t>为主要原料的沼气工程沼液生物固化处理。</w:t>
      </w:r>
    </w:p>
    <w:p w:rsidR="00FA225B" w:rsidRDefault="00FA225B">
      <w:pPr>
        <w:pStyle w:val="af6"/>
        <w:spacing w:line="360" w:lineRule="exact"/>
        <w:rPr>
          <w:rFonts w:ascii="Times New Roman"/>
        </w:rPr>
      </w:pPr>
    </w:p>
    <w:p w:rsidR="00FA225B" w:rsidRDefault="007143E2">
      <w:pPr>
        <w:pStyle w:val="a5"/>
        <w:outlineLvl w:val="0"/>
        <w:rPr>
          <w:b/>
          <w:bCs/>
        </w:rPr>
      </w:pPr>
      <w:bookmarkStart w:id="24" w:name="_Toc19835"/>
      <w:bookmarkStart w:id="25" w:name="_Toc62542762"/>
      <w:bookmarkStart w:id="26" w:name="_Toc13947"/>
      <w:bookmarkStart w:id="27" w:name="_Toc15723"/>
      <w:bookmarkStart w:id="28" w:name="_Toc28556"/>
      <w:bookmarkStart w:id="29" w:name="_Toc26569"/>
      <w:bookmarkStart w:id="30" w:name="_Toc5024"/>
      <w:bookmarkStart w:id="31" w:name="_Toc21274"/>
      <w:bookmarkStart w:id="32" w:name="_Toc498353190"/>
      <w:r>
        <w:rPr>
          <w:b/>
          <w:bCs/>
        </w:rPr>
        <w:t>规范性引用文件</w:t>
      </w:r>
      <w:bookmarkEnd w:id="24"/>
      <w:bookmarkEnd w:id="25"/>
      <w:bookmarkEnd w:id="26"/>
      <w:bookmarkEnd w:id="27"/>
      <w:bookmarkEnd w:id="28"/>
      <w:bookmarkEnd w:id="29"/>
      <w:bookmarkEnd w:id="30"/>
      <w:bookmarkEnd w:id="31"/>
      <w:bookmarkEnd w:id="32"/>
    </w:p>
    <w:sdt>
      <w:sdtPr>
        <w:rPr>
          <w:rFonts w:hint="eastAsia"/>
        </w:rPr>
        <w:id w:val="715848253"/>
        <w:placeholder>
          <w:docPart w:val="{5aaa5a9c-099a-48a9-b6b8-606a191743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A225B" w:rsidRDefault="007143E2">
          <w:pPr>
            <w:pStyle w:val="a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A225B" w:rsidRDefault="007143E2">
      <w:pPr>
        <w:pStyle w:val="afa"/>
        <w:ind w:firstLine="420"/>
      </w:pPr>
      <w:r>
        <w:rPr>
          <w:rFonts w:hint="eastAsia"/>
        </w:rPr>
        <w:t xml:space="preserve">NY/T 525 </w:t>
      </w:r>
      <w:r>
        <w:rPr>
          <w:rFonts w:hint="eastAsia"/>
        </w:rPr>
        <w:t>有机肥料</w:t>
      </w:r>
    </w:p>
    <w:p w:rsidR="00FA225B" w:rsidRDefault="00FA225B">
      <w:pPr>
        <w:pStyle w:val="af6"/>
        <w:spacing w:line="360" w:lineRule="exact"/>
        <w:ind w:firstLineChars="0" w:firstLine="0"/>
        <w:jc w:val="left"/>
        <w:rPr>
          <w:rFonts w:ascii="Times New Roman"/>
          <w:szCs w:val="22"/>
        </w:rPr>
      </w:pPr>
    </w:p>
    <w:p w:rsidR="00FA225B" w:rsidRDefault="007143E2">
      <w:pPr>
        <w:pStyle w:val="a5"/>
        <w:outlineLvl w:val="0"/>
        <w:rPr>
          <w:b/>
          <w:bCs/>
        </w:rPr>
      </w:pPr>
      <w:bookmarkStart w:id="33" w:name="_Toc62542763"/>
      <w:bookmarkStart w:id="34" w:name="_Toc456"/>
      <w:bookmarkStart w:id="35" w:name="_Toc4712"/>
      <w:bookmarkStart w:id="36" w:name="_Toc26030"/>
      <w:bookmarkStart w:id="37" w:name="_Toc1695"/>
      <w:bookmarkStart w:id="38" w:name="_Toc22855"/>
      <w:bookmarkStart w:id="39" w:name="_Toc28251"/>
      <w:bookmarkStart w:id="40" w:name="_Toc8584"/>
      <w:r>
        <w:rPr>
          <w:rFonts w:hint="eastAsia"/>
          <w:b/>
          <w:bCs/>
        </w:rPr>
        <w:t>术语和定义</w:t>
      </w:r>
      <w:bookmarkEnd w:id="33"/>
      <w:bookmarkEnd w:id="34"/>
      <w:bookmarkEnd w:id="35"/>
      <w:bookmarkEnd w:id="36"/>
      <w:bookmarkEnd w:id="37"/>
      <w:bookmarkEnd w:id="38"/>
      <w:bookmarkEnd w:id="39"/>
      <w:bookmarkEnd w:id="40"/>
    </w:p>
    <w:p w:rsidR="00FA225B" w:rsidRDefault="007143E2">
      <w:pPr>
        <w:pStyle w:val="af6"/>
        <w:spacing w:line="360" w:lineRule="auto"/>
      </w:pPr>
      <w:r>
        <w:rPr>
          <w:rFonts w:hint="eastAsia"/>
        </w:rPr>
        <w:t>下列术语和定义适用于本文件。</w:t>
      </w:r>
    </w:p>
    <w:p w:rsidR="00FA225B" w:rsidRDefault="007143E2">
      <w:pPr>
        <w:pStyle w:val="af6"/>
        <w:spacing w:line="360" w:lineRule="auto"/>
        <w:ind w:firstLineChars="0" w:firstLine="0"/>
        <w:rPr>
          <w:rFonts w:ascii="Times New Roman"/>
          <w:b/>
          <w:bCs/>
          <w:szCs w:val="22"/>
        </w:rPr>
      </w:pPr>
      <w:r>
        <w:rPr>
          <w:rFonts w:ascii="Times New Roman" w:hint="eastAsia"/>
          <w:b/>
          <w:bCs/>
          <w:szCs w:val="22"/>
        </w:rPr>
        <w:t>3.1</w:t>
      </w:r>
    </w:p>
    <w:p w:rsidR="00FA225B" w:rsidRDefault="007143E2">
      <w:pPr>
        <w:pStyle w:val="af6"/>
        <w:spacing w:line="360" w:lineRule="auto"/>
        <w:ind w:firstLine="422"/>
        <w:rPr>
          <w:rFonts w:ascii="Times New Roman"/>
          <w:b/>
          <w:bCs/>
          <w:szCs w:val="22"/>
        </w:rPr>
      </w:pPr>
      <w:r>
        <w:rPr>
          <w:rFonts w:ascii="Times New Roman" w:hint="eastAsia"/>
          <w:b/>
          <w:bCs/>
          <w:szCs w:val="22"/>
        </w:rPr>
        <w:t>沼液</w:t>
      </w:r>
      <w:r>
        <w:rPr>
          <w:rFonts w:ascii="Times New Roman" w:hint="eastAsia"/>
          <w:b/>
          <w:bCs/>
          <w:szCs w:val="22"/>
        </w:rPr>
        <w:t xml:space="preserve"> Biogas Slurry</w:t>
      </w:r>
    </w:p>
    <w:p w:rsidR="00FA225B" w:rsidRDefault="007143E2">
      <w:pPr>
        <w:pStyle w:val="af6"/>
        <w:spacing w:line="360" w:lineRule="auto"/>
        <w:rPr>
          <w:rFonts w:ascii="Times New Roman"/>
          <w:szCs w:val="22"/>
        </w:rPr>
      </w:pPr>
      <w:r>
        <w:rPr>
          <w:rFonts w:hint="eastAsia"/>
        </w:rPr>
        <w:t>以畜禽粪污、农作物秸秆</w:t>
      </w:r>
      <w:r>
        <w:rPr>
          <w:rFonts w:hint="eastAsia"/>
        </w:rPr>
        <w:t>、</w:t>
      </w:r>
      <w:r>
        <w:rPr>
          <w:rFonts w:hint="eastAsia"/>
        </w:rPr>
        <w:t>下脚料</w:t>
      </w:r>
      <w:r>
        <w:rPr>
          <w:rFonts w:hint="eastAsia"/>
        </w:rPr>
        <w:t>等农</w:t>
      </w:r>
      <w:r>
        <w:rPr>
          <w:rFonts w:hint="eastAsia"/>
        </w:rPr>
        <w:t>林</w:t>
      </w:r>
      <w:r>
        <w:rPr>
          <w:rFonts w:hint="eastAsia"/>
        </w:rPr>
        <w:t>业有机废弃物</w:t>
      </w:r>
      <w:r>
        <w:rPr>
          <w:rFonts w:hint="eastAsia"/>
        </w:rPr>
        <w:t>及下脚料</w:t>
      </w:r>
      <w:r>
        <w:rPr>
          <w:rFonts w:hint="eastAsia"/>
        </w:rPr>
        <w:t>为主要原料，通过厌氧</w:t>
      </w:r>
      <w:r>
        <w:rPr>
          <w:rFonts w:hint="eastAsia"/>
        </w:rPr>
        <w:t>消化</w:t>
      </w:r>
      <w:r>
        <w:rPr>
          <w:rFonts w:hint="eastAsia"/>
        </w:rPr>
        <w:t>产生的液态物质</w:t>
      </w:r>
      <w:r>
        <w:rPr>
          <w:rFonts w:ascii="Times New Roman"/>
          <w:szCs w:val="22"/>
        </w:rPr>
        <w:t>。</w:t>
      </w:r>
    </w:p>
    <w:p w:rsidR="00FA225B" w:rsidRDefault="007143E2">
      <w:pPr>
        <w:pStyle w:val="af6"/>
        <w:spacing w:line="360" w:lineRule="auto"/>
        <w:ind w:firstLineChars="0" w:firstLine="0"/>
        <w:rPr>
          <w:rFonts w:ascii="Times New Roman"/>
          <w:b/>
          <w:bCs/>
          <w:szCs w:val="22"/>
        </w:rPr>
      </w:pPr>
      <w:r>
        <w:rPr>
          <w:rFonts w:ascii="Times New Roman" w:hint="eastAsia"/>
          <w:b/>
          <w:bCs/>
          <w:szCs w:val="22"/>
        </w:rPr>
        <w:t>3.2</w:t>
      </w:r>
    </w:p>
    <w:p w:rsidR="00FA225B" w:rsidRDefault="007143E2" w:rsidP="00685D95">
      <w:pPr>
        <w:pStyle w:val="af6"/>
        <w:spacing w:line="360" w:lineRule="auto"/>
        <w:ind w:firstLine="422"/>
        <w:rPr>
          <w:rFonts w:ascii="Times New Roman"/>
          <w:b/>
          <w:bCs/>
          <w:szCs w:val="22"/>
        </w:rPr>
      </w:pPr>
      <w:r>
        <w:rPr>
          <w:rFonts w:hint="eastAsia"/>
          <w:b/>
          <w:bCs/>
        </w:rPr>
        <w:t>生物固化</w:t>
      </w:r>
      <w:r>
        <w:rPr>
          <w:rFonts w:hint="eastAsia"/>
          <w:b/>
          <w:bCs/>
        </w:rPr>
        <w:t xml:space="preserve"> </w:t>
      </w:r>
      <w:r>
        <w:rPr>
          <w:rFonts w:ascii="Times New Roman"/>
          <w:b/>
          <w:bCs/>
          <w:szCs w:val="22"/>
        </w:rPr>
        <w:t>B</w:t>
      </w:r>
      <w:r>
        <w:rPr>
          <w:rFonts w:ascii="Times New Roman" w:hint="eastAsia"/>
          <w:b/>
          <w:bCs/>
          <w:szCs w:val="22"/>
        </w:rPr>
        <w:t xml:space="preserve">iological </w:t>
      </w:r>
      <w:r>
        <w:rPr>
          <w:rFonts w:ascii="Times New Roman" w:hint="eastAsia"/>
          <w:b/>
          <w:bCs/>
          <w:szCs w:val="22"/>
        </w:rPr>
        <w:t>Solidification</w:t>
      </w:r>
    </w:p>
    <w:p w:rsidR="00FA225B" w:rsidRDefault="007143E2">
      <w:pPr>
        <w:widowControl/>
        <w:spacing w:line="360" w:lineRule="auto"/>
        <w:ind w:firstLineChars="200" w:firstLine="420"/>
        <w:jc w:val="left"/>
        <w:rPr>
          <w:kern w:val="0"/>
          <w:szCs w:val="22"/>
        </w:rPr>
      </w:pPr>
      <w:r>
        <w:rPr>
          <w:rFonts w:hint="eastAsia"/>
        </w:rPr>
        <w:t>微生物作用</w:t>
      </w:r>
      <w:r>
        <w:rPr>
          <w:rFonts w:hint="eastAsia"/>
        </w:rPr>
        <w:t>农林业废弃物中</w:t>
      </w:r>
      <w:r>
        <w:rPr>
          <w:rFonts w:hint="eastAsia"/>
        </w:rPr>
        <w:t>有机物发生降解并释放热量，使得料堆升温，水分蒸发</w:t>
      </w:r>
      <w:r>
        <w:rPr>
          <w:rFonts w:hint="eastAsia"/>
        </w:rPr>
        <w:t>的</w:t>
      </w:r>
      <w:r>
        <w:rPr>
          <w:rFonts w:hint="eastAsia"/>
        </w:rPr>
        <w:t>同时液体中养</w:t>
      </w:r>
      <w:r>
        <w:rPr>
          <w:rFonts w:hint="eastAsia"/>
        </w:rPr>
        <w:t>分</w:t>
      </w:r>
      <w:r>
        <w:rPr>
          <w:rFonts w:hint="eastAsia"/>
        </w:rPr>
        <w:t>等物质通过生物转化并固定在料堆中的过程</w:t>
      </w:r>
      <w:r>
        <w:rPr>
          <w:kern w:val="0"/>
          <w:szCs w:val="22"/>
        </w:rPr>
        <w:t>。</w:t>
      </w:r>
    </w:p>
    <w:p w:rsidR="00FA225B" w:rsidRDefault="007143E2">
      <w:pPr>
        <w:widowControl/>
        <w:spacing w:line="360" w:lineRule="auto"/>
        <w:jc w:val="left"/>
        <w:rPr>
          <w:b/>
          <w:bCs/>
          <w:kern w:val="0"/>
          <w:szCs w:val="22"/>
        </w:rPr>
      </w:pPr>
      <w:r>
        <w:rPr>
          <w:rFonts w:hint="eastAsia"/>
          <w:b/>
          <w:bCs/>
          <w:kern w:val="0"/>
          <w:szCs w:val="22"/>
        </w:rPr>
        <w:t>3.3</w:t>
      </w:r>
    </w:p>
    <w:p w:rsidR="00FA225B" w:rsidRDefault="007143E2" w:rsidP="00685D95">
      <w:pPr>
        <w:pStyle w:val="af6"/>
        <w:spacing w:line="360" w:lineRule="auto"/>
        <w:ind w:firstLine="422"/>
        <w:rPr>
          <w:b/>
          <w:bCs/>
        </w:rPr>
      </w:pPr>
      <w:r>
        <w:rPr>
          <w:rFonts w:hint="eastAsia"/>
          <w:b/>
          <w:bCs/>
        </w:rPr>
        <w:t>腐熟度</w:t>
      </w:r>
      <w:r>
        <w:rPr>
          <w:rFonts w:hint="eastAsia"/>
          <w:b/>
          <w:bCs/>
        </w:rPr>
        <w:t xml:space="preserve"> </w:t>
      </w:r>
      <w:r>
        <w:rPr>
          <w:rFonts w:ascii="Times New Roman" w:hint="eastAsia"/>
          <w:b/>
          <w:bCs/>
          <w:szCs w:val="22"/>
        </w:rPr>
        <w:t>Degree of Maturity</w:t>
      </w:r>
    </w:p>
    <w:p w:rsidR="00FA225B" w:rsidRDefault="007143E2">
      <w:pPr>
        <w:pStyle w:val="af6"/>
        <w:spacing w:line="360" w:lineRule="auto"/>
        <w:rPr>
          <w:rFonts w:ascii="Times New Roman"/>
          <w:szCs w:val="22"/>
        </w:rPr>
      </w:pPr>
      <w:r>
        <w:rPr>
          <w:rFonts w:hint="eastAsia"/>
        </w:rPr>
        <w:t>有机肥料腐熟程度的简称</w:t>
      </w:r>
      <w:r>
        <w:rPr>
          <w:rFonts w:hint="eastAsia"/>
        </w:rPr>
        <w:t>。</w:t>
      </w:r>
      <w:r>
        <w:rPr>
          <w:rFonts w:hint="eastAsia"/>
        </w:rPr>
        <w:t>堆肥原料中有机物在微生物作用下经腐殖化、矿化过程，达到稳定化的程度</w:t>
      </w:r>
      <w:r>
        <w:rPr>
          <w:rFonts w:ascii="Times New Roman" w:hint="eastAsia"/>
          <w:szCs w:val="22"/>
        </w:rPr>
        <w:t>。</w:t>
      </w:r>
    </w:p>
    <w:p w:rsidR="00FA225B" w:rsidRDefault="007143E2">
      <w:pPr>
        <w:pStyle w:val="a5"/>
        <w:outlineLvl w:val="0"/>
        <w:rPr>
          <w:b/>
          <w:bCs/>
        </w:rPr>
      </w:pPr>
      <w:bookmarkStart w:id="41" w:name="_Toc12964"/>
      <w:bookmarkStart w:id="42" w:name="_Toc3001"/>
      <w:bookmarkStart w:id="43" w:name="_Toc23224"/>
      <w:r>
        <w:rPr>
          <w:rFonts w:ascii="Times New Roman" w:hint="eastAsia"/>
          <w:b/>
          <w:bCs/>
          <w:szCs w:val="21"/>
        </w:rPr>
        <w:lastRenderedPageBreak/>
        <w:t>原料与</w:t>
      </w:r>
      <w:r>
        <w:rPr>
          <w:rFonts w:ascii="Times New Roman" w:hint="eastAsia"/>
          <w:b/>
          <w:bCs/>
          <w:szCs w:val="21"/>
        </w:rPr>
        <w:t>要求</w:t>
      </w:r>
      <w:bookmarkEnd w:id="41"/>
    </w:p>
    <w:p w:rsidR="00FA225B" w:rsidRDefault="007143E2" w:rsidP="00685D95">
      <w:pPr>
        <w:pStyle w:val="a3"/>
        <w:numPr>
          <w:ilvl w:val="0"/>
          <w:numId w:val="0"/>
        </w:numPr>
        <w:spacing w:before="156" w:after="156"/>
        <w:rPr>
          <w:b/>
          <w:bCs/>
        </w:rPr>
      </w:pPr>
      <w:r>
        <w:rPr>
          <w:rFonts w:hint="eastAsia"/>
          <w:b/>
          <w:bCs/>
        </w:rPr>
        <w:t>4</w:t>
      </w:r>
      <w:r>
        <w:rPr>
          <w:b/>
          <w:bCs/>
        </w:rPr>
        <w:t>.1</w:t>
      </w:r>
      <w:r>
        <w:rPr>
          <w:b/>
          <w:bCs/>
        </w:rPr>
        <w:t>原料</w:t>
      </w:r>
    </w:p>
    <w:p w:rsidR="00FA225B" w:rsidRDefault="007143E2">
      <w:pPr>
        <w:pStyle w:val="af6"/>
        <w:spacing w:line="360" w:lineRule="auto"/>
        <w:rPr>
          <w:rFonts w:ascii="Times New Roman"/>
          <w:szCs w:val="22"/>
        </w:rPr>
      </w:pPr>
      <w:r>
        <w:rPr>
          <w:rFonts w:hint="eastAsia"/>
        </w:rPr>
        <w:t>沼液可为厌氧</w:t>
      </w:r>
      <w:r>
        <w:rPr>
          <w:rFonts w:hint="eastAsia"/>
        </w:rPr>
        <w:t>消化</w:t>
      </w:r>
      <w:r>
        <w:rPr>
          <w:rFonts w:hint="eastAsia"/>
        </w:rPr>
        <w:t>产生的液态物质</w:t>
      </w:r>
      <w:r>
        <w:rPr>
          <w:rFonts w:hint="eastAsia"/>
        </w:rPr>
        <w:t>（</w:t>
      </w:r>
      <w:r>
        <w:rPr>
          <w:rFonts w:hint="eastAsia"/>
        </w:rPr>
        <w:t>固液分离</w:t>
      </w:r>
      <w:r>
        <w:rPr>
          <w:rFonts w:hint="eastAsia"/>
        </w:rPr>
        <w:t>脱水后的液体</w:t>
      </w:r>
      <w:r>
        <w:rPr>
          <w:rFonts w:hint="eastAsia"/>
        </w:rPr>
        <w:t>或</w:t>
      </w:r>
      <w:r>
        <w:rPr>
          <w:rFonts w:hint="eastAsia"/>
        </w:rPr>
        <w:t>厌氧</w:t>
      </w:r>
      <w:r>
        <w:rPr>
          <w:rFonts w:hint="eastAsia"/>
        </w:rPr>
        <w:t>消化</w:t>
      </w:r>
      <w:proofErr w:type="gramStart"/>
      <w:r>
        <w:rPr>
          <w:rFonts w:hint="eastAsia"/>
        </w:rPr>
        <w:t>罐出来</w:t>
      </w:r>
      <w:proofErr w:type="gramEnd"/>
      <w:r>
        <w:rPr>
          <w:rFonts w:hint="eastAsia"/>
        </w:rPr>
        <w:t>的混合物</w:t>
      </w:r>
      <w:r>
        <w:rPr>
          <w:rFonts w:hint="eastAsia"/>
        </w:rPr>
        <w:t>）</w:t>
      </w:r>
      <w:r>
        <w:rPr>
          <w:rFonts w:hint="eastAsia"/>
        </w:rPr>
        <w:t>。与沼液混合的原料可包括</w:t>
      </w:r>
      <w:proofErr w:type="gramStart"/>
      <w:r>
        <w:rPr>
          <w:rFonts w:hint="eastAsia"/>
        </w:rPr>
        <w:t>玉米杆</w:t>
      </w:r>
      <w:proofErr w:type="gramEnd"/>
      <w:r>
        <w:rPr>
          <w:rFonts w:hint="eastAsia"/>
        </w:rPr>
        <w:t>、麦秸、稻草、花生秧、豆秸、油菜</w:t>
      </w:r>
      <w:proofErr w:type="gramStart"/>
      <w:r>
        <w:rPr>
          <w:rFonts w:hint="eastAsia"/>
        </w:rPr>
        <w:t>秆</w:t>
      </w:r>
      <w:proofErr w:type="gramEnd"/>
      <w:r>
        <w:rPr>
          <w:rFonts w:hint="eastAsia"/>
        </w:rPr>
        <w:t>等农作物秸秆，蔬菜尾菜、枝条、落叶、菌渣、酒糟、</w:t>
      </w:r>
      <w:proofErr w:type="gramStart"/>
      <w:r>
        <w:rPr>
          <w:rFonts w:hint="eastAsia"/>
        </w:rPr>
        <w:t>醋渣等</w:t>
      </w:r>
      <w:proofErr w:type="gramEnd"/>
      <w:r>
        <w:rPr>
          <w:rFonts w:hint="eastAsia"/>
        </w:rPr>
        <w:t>农</w:t>
      </w:r>
      <w:r>
        <w:rPr>
          <w:rFonts w:hint="eastAsia"/>
        </w:rPr>
        <w:t>林</w:t>
      </w:r>
      <w:r>
        <w:rPr>
          <w:rFonts w:hint="eastAsia"/>
        </w:rPr>
        <w:t>业废弃物及下脚料</w:t>
      </w:r>
      <w:r>
        <w:rPr>
          <w:rFonts w:ascii="Times New Roman" w:hint="eastAsia"/>
          <w:szCs w:val="22"/>
        </w:rPr>
        <w:t>。</w:t>
      </w:r>
    </w:p>
    <w:p w:rsidR="00FA225B" w:rsidRDefault="007143E2" w:rsidP="00685D95">
      <w:pPr>
        <w:pStyle w:val="a3"/>
        <w:numPr>
          <w:ilvl w:val="0"/>
          <w:numId w:val="0"/>
        </w:numPr>
        <w:spacing w:before="156" w:after="156"/>
        <w:rPr>
          <w:b/>
          <w:bCs/>
        </w:rPr>
      </w:pPr>
      <w:r>
        <w:rPr>
          <w:rFonts w:hint="eastAsia"/>
          <w:b/>
          <w:bCs/>
        </w:rPr>
        <w:t>4.2</w:t>
      </w:r>
      <w:r>
        <w:rPr>
          <w:rFonts w:hint="eastAsia"/>
          <w:b/>
          <w:bCs/>
        </w:rPr>
        <w:t>要求</w:t>
      </w:r>
    </w:p>
    <w:p w:rsidR="00FA225B" w:rsidRDefault="007143E2" w:rsidP="00685D95">
      <w:pPr>
        <w:pStyle w:val="afa"/>
        <w:spacing w:line="360" w:lineRule="auto"/>
        <w:ind w:firstLine="420"/>
        <w:rPr>
          <w:rFonts w:ascii="Times New Roman"/>
          <w:szCs w:val="21"/>
        </w:rPr>
      </w:pPr>
      <w:r>
        <w:rPr>
          <w:rFonts w:hint="eastAsia"/>
        </w:rPr>
        <w:t>玉米</w:t>
      </w:r>
      <w:r>
        <w:rPr>
          <w:rFonts w:hint="eastAsia"/>
        </w:rPr>
        <w:t>秆</w:t>
      </w:r>
      <w:r>
        <w:rPr>
          <w:rFonts w:hint="eastAsia"/>
        </w:rPr>
        <w:t>、麦秸、稻草、花生秧、豆秸、油菜</w:t>
      </w:r>
      <w:proofErr w:type="gramStart"/>
      <w:r>
        <w:rPr>
          <w:rFonts w:hint="eastAsia"/>
        </w:rPr>
        <w:t>秆</w:t>
      </w:r>
      <w:proofErr w:type="gramEnd"/>
      <w:r>
        <w:rPr>
          <w:rFonts w:hint="eastAsia"/>
        </w:rPr>
        <w:t>等农作物秸秆，蔬菜尾菜、枝条、落叶等应经粉碎处理，粒度宜为</w:t>
      </w:r>
      <w:r>
        <w:rPr>
          <w:rFonts w:hint="eastAsia"/>
        </w:rPr>
        <w:t>2</w:t>
      </w:r>
      <w:r>
        <w:rPr>
          <w:rFonts w:hint="eastAsia"/>
        </w:rPr>
        <w:t xml:space="preserve"> </w:t>
      </w:r>
      <w:r>
        <w:rPr>
          <w:rFonts w:hint="eastAsia"/>
        </w:rPr>
        <w:t>cm</w:t>
      </w:r>
      <w:r>
        <w:rPr>
          <w:rFonts w:hint="eastAsia"/>
        </w:rPr>
        <w:t>～</w:t>
      </w:r>
      <w:r>
        <w:rPr>
          <w:rFonts w:hint="eastAsia"/>
        </w:rPr>
        <w:t>5</w:t>
      </w:r>
      <w:r>
        <w:rPr>
          <w:rFonts w:hint="eastAsia"/>
        </w:rPr>
        <w:t xml:space="preserve"> </w:t>
      </w:r>
      <w:r>
        <w:rPr>
          <w:rFonts w:hint="eastAsia"/>
        </w:rPr>
        <w:t>cm</w:t>
      </w:r>
      <w:r>
        <w:rPr>
          <w:rFonts w:hint="eastAsia"/>
        </w:rPr>
        <w:t>，不</w:t>
      </w:r>
      <w:r>
        <w:rPr>
          <w:rFonts w:hint="eastAsia"/>
        </w:rPr>
        <w:t>应</w:t>
      </w:r>
      <w:r>
        <w:rPr>
          <w:rFonts w:hint="eastAsia"/>
        </w:rPr>
        <w:t>含有石子、铁屑等杂质</w:t>
      </w:r>
      <w:r>
        <w:rPr>
          <w:rFonts w:ascii="Times New Roman" w:hint="eastAsia"/>
          <w:szCs w:val="22"/>
        </w:rPr>
        <w:t>。</w:t>
      </w:r>
    </w:p>
    <w:p w:rsidR="00FA225B" w:rsidRDefault="007143E2">
      <w:pPr>
        <w:pStyle w:val="a5"/>
        <w:outlineLvl w:val="0"/>
        <w:rPr>
          <w:rFonts w:ascii="Times New Roman"/>
          <w:b/>
          <w:bCs/>
          <w:szCs w:val="21"/>
        </w:rPr>
      </w:pPr>
      <w:bookmarkStart w:id="44" w:name="_Toc18622"/>
      <w:r>
        <w:rPr>
          <w:rFonts w:ascii="Times New Roman" w:hint="eastAsia"/>
          <w:b/>
          <w:bCs/>
          <w:szCs w:val="21"/>
        </w:rPr>
        <w:t>生产工艺</w:t>
      </w:r>
      <w:bookmarkEnd w:id="44"/>
    </w:p>
    <w:p w:rsidR="00FA225B" w:rsidRDefault="007143E2">
      <w:pPr>
        <w:pStyle w:val="a6"/>
        <w:rPr>
          <w:b/>
          <w:bCs/>
        </w:rPr>
      </w:pPr>
      <w:r>
        <w:rPr>
          <w:rFonts w:hint="eastAsia"/>
          <w:b/>
          <w:bCs/>
        </w:rPr>
        <w:t>场地选择</w:t>
      </w:r>
    </w:p>
    <w:p w:rsidR="00FA225B" w:rsidRDefault="007143E2">
      <w:pPr>
        <w:pStyle w:val="afa"/>
        <w:ind w:firstLine="420"/>
        <w:rPr>
          <w:highlight w:val="yellow"/>
        </w:rPr>
      </w:pPr>
      <w:r>
        <w:rPr>
          <w:rFonts w:hint="eastAsia"/>
        </w:rPr>
        <w:t>场地选择符合下列</w:t>
      </w:r>
      <w:r>
        <w:rPr>
          <w:rFonts w:hint="eastAsia"/>
        </w:rPr>
        <w:t>要求</w:t>
      </w:r>
      <w:r>
        <w:rPr>
          <w:rFonts w:hint="eastAsia"/>
        </w:rPr>
        <w:t>：</w:t>
      </w:r>
    </w:p>
    <w:p w:rsidR="00FA225B" w:rsidRDefault="007143E2">
      <w:pPr>
        <w:pStyle w:val="afa"/>
        <w:ind w:firstLine="420"/>
      </w:pPr>
      <w:r>
        <w:rPr>
          <w:rFonts w:hint="eastAsia"/>
        </w:rPr>
        <w:t>a)</w:t>
      </w:r>
      <w:r>
        <w:rPr>
          <w:rFonts w:hint="eastAsia"/>
        </w:rPr>
        <w:tab/>
      </w:r>
      <w:r>
        <w:rPr>
          <w:rFonts w:hint="eastAsia"/>
        </w:rPr>
        <w:t>场地</w:t>
      </w:r>
      <w:r>
        <w:rPr>
          <w:rFonts w:hint="eastAsia"/>
        </w:rPr>
        <w:t>宜</w:t>
      </w:r>
      <w:r>
        <w:rPr>
          <w:rFonts w:hint="eastAsia"/>
        </w:rPr>
        <w:t>靠近沼气工程附近，水电方便，且距居民居住区</w:t>
      </w:r>
      <w:r>
        <w:rPr>
          <w:rFonts w:hint="eastAsia"/>
        </w:rPr>
        <w:t>不小于</w:t>
      </w:r>
      <w:r>
        <w:rPr>
          <w:rFonts w:hint="eastAsia"/>
        </w:rPr>
        <w:t>2000</w:t>
      </w:r>
      <w:r>
        <w:rPr>
          <w:rFonts w:hint="eastAsia"/>
        </w:rPr>
        <w:t xml:space="preserve"> m</w:t>
      </w:r>
      <w:r>
        <w:rPr>
          <w:rFonts w:hint="eastAsia"/>
        </w:rPr>
        <w:t>；</w:t>
      </w:r>
    </w:p>
    <w:p w:rsidR="00FA225B" w:rsidRDefault="007143E2">
      <w:pPr>
        <w:pStyle w:val="afa"/>
        <w:ind w:firstLine="420"/>
      </w:pPr>
      <w:r>
        <w:rPr>
          <w:rFonts w:hint="eastAsia"/>
        </w:rPr>
        <w:t>b)</w:t>
      </w:r>
      <w:r>
        <w:rPr>
          <w:rFonts w:hint="eastAsia"/>
        </w:rPr>
        <w:tab/>
      </w:r>
      <w:r>
        <w:rPr>
          <w:rFonts w:hint="eastAsia"/>
        </w:rPr>
        <w:t>生物固化场地应平整，且有道路硬化层</w:t>
      </w:r>
      <w:r>
        <w:rPr>
          <w:rFonts w:hint="eastAsia"/>
        </w:rPr>
        <w:t>；</w:t>
      </w:r>
      <w:r>
        <w:rPr>
          <w:rFonts w:hint="eastAsia"/>
        </w:rPr>
        <w:t>办公区域、员工生活区应与生物固化场地区域分离，且应在上风位置；</w:t>
      </w:r>
    </w:p>
    <w:p w:rsidR="00FA225B" w:rsidRDefault="007143E2">
      <w:pPr>
        <w:pStyle w:val="afa"/>
        <w:ind w:firstLine="420"/>
        <w:rPr>
          <w:rFonts w:ascii="Times New Roman"/>
          <w:szCs w:val="22"/>
        </w:rPr>
      </w:pPr>
      <w:r>
        <w:rPr>
          <w:rFonts w:hint="eastAsia"/>
        </w:rPr>
        <w:t>c</w:t>
      </w:r>
      <w:r>
        <w:rPr>
          <w:rFonts w:hint="eastAsia"/>
        </w:rPr>
        <w:t>)</w:t>
      </w:r>
      <w:r>
        <w:rPr>
          <w:rFonts w:hint="eastAsia"/>
        </w:rPr>
        <w:tab/>
      </w:r>
      <w:r>
        <w:rPr>
          <w:rFonts w:hint="eastAsia"/>
        </w:rPr>
        <w:t>车间布局应合理紧凑，原料、生物固化、后熟、调配加工、产品应有连续性</w:t>
      </w:r>
      <w:r>
        <w:rPr>
          <w:rFonts w:ascii="Times New Roman" w:hint="eastAsia"/>
          <w:szCs w:val="22"/>
        </w:rPr>
        <w:t>。</w:t>
      </w:r>
    </w:p>
    <w:p w:rsidR="00FA225B" w:rsidRDefault="007143E2">
      <w:pPr>
        <w:pStyle w:val="a6"/>
        <w:rPr>
          <w:b/>
          <w:bCs/>
        </w:rPr>
      </w:pPr>
      <w:r>
        <w:rPr>
          <w:rFonts w:hint="eastAsia"/>
          <w:b/>
          <w:bCs/>
        </w:rPr>
        <w:t>沼液生物固化流程</w:t>
      </w:r>
    </w:p>
    <w:p w:rsidR="00FA225B" w:rsidRDefault="007143E2">
      <w:pPr>
        <w:pStyle w:val="afa"/>
        <w:ind w:firstLine="420"/>
        <w:rPr>
          <w:highlight w:val="green"/>
        </w:rPr>
      </w:pPr>
      <w:r>
        <w:rPr>
          <w:rFonts w:hint="eastAsia"/>
        </w:rPr>
        <w:t>沼液生物固化</w:t>
      </w:r>
      <w:r>
        <w:rPr>
          <w:rFonts w:hint="eastAsia"/>
        </w:rPr>
        <w:t>流程</w:t>
      </w:r>
      <w:r>
        <w:rPr>
          <w:rFonts w:hint="eastAsia"/>
        </w:rPr>
        <w:t>符合下列规定：</w:t>
      </w:r>
    </w:p>
    <w:p w:rsidR="00FA225B" w:rsidRDefault="007143E2">
      <w:pPr>
        <w:pStyle w:val="a"/>
      </w:pPr>
      <w:r>
        <w:rPr>
          <w:rFonts w:hint="eastAsia"/>
        </w:rPr>
        <w:t>将沼液喷洒在玉米</w:t>
      </w:r>
      <w:r>
        <w:rPr>
          <w:rFonts w:hint="eastAsia"/>
        </w:rPr>
        <w:t>秆</w:t>
      </w:r>
      <w:r>
        <w:rPr>
          <w:rFonts w:hint="eastAsia"/>
        </w:rPr>
        <w:t>、麦秸、稻草、花生秧、豆秸、油菜</w:t>
      </w:r>
      <w:proofErr w:type="gramStart"/>
      <w:r>
        <w:rPr>
          <w:rFonts w:hint="eastAsia"/>
        </w:rPr>
        <w:t>秆</w:t>
      </w:r>
      <w:proofErr w:type="gramEnd"/>
      <w:r>
        <w:rPr>
          <w:rFonts w:hint="eastAsia"/>
        </w:rPr>
        <w:t>等农作物秸秆</w:t>
      </w:r>
      <w:r>
        <w:rPr>
          <w:rFonts w:hint="eastAsia"/>
        </w:rPr>
        <w:t>或</w:t>
      </w:r>
      <w:r>
        <w:rPr>
          <w:rFonts w:hint="eastAsia"/>
        </w:rPr>
        <w:t>蔬菜尾菜、枝条、落叶、菌渣、酒糟、</w:t>
      </w:r>
      <w:proofErr w:type="gramStart"/>
      <w:r>
        <w:rPr>
          <w:rFonts w:hint="eastAsia"/>
        </w:rPr>
        <w:t>醋渣等</w:t>
      </w:r>
      <w:proofErr w:type="gramEnd"/>
      <w:r>
        <w:rPr>
          <w:rFonts w:hint="eastAsia"/>
        </w:rPr>
        <w:t>农</w:t>
      </w:r>
      <w:r>
        <w:rPr>
          <w:rFonts w:hint="eastAsia"/>
        </w:rPr>
        <w:t>林</w:t>
      </w:r>
      <w:r>
        <w:rPr>
          <w:rFonts w:hint="eastAsia"/>
        </w:rPr>
        <w:t>业废弃物及下脚料等原料上，充分渗透，初始含水量宜为</w:t>
      </w:r>
      <w:r>
        <w:rPr>
          <w:rFonts w:hint="eastAsia"/>
        </w:rPr>
        <w:t>60%</w:t>
      </w:r>
      <w:r>
        <w:rPr>
          <w:rFonts w:hint="eastAsia"/>
        </w:rPr>
        <w:t>～</w:t>
      </w:r>
      <w:r>
        <w:rPr>
          <w:rFonts w:hint="eastAsia"/>
        </w:rPr>
        <w:t>65%</w:t>
      </w:r>
      <w:r>
        <w:rPr>
          <w:rFonts w:hint="eastAsia"/>
        </w:rPr>
        <w:t>，调节混合物的碳氮比宜为（</w:t>
      </w:r>
      <w:r>
        <w:rPr>
          <w:rFonts w:hint="eastAsia"/>
        </w:rPr>
        <w:t>2</w:t>
      </w:r>
      <w:r>
        <w:rPr>
          <w:rFonts w:hint="eastAsia"/>
        </w:rPr>
        <w:t>0</w:t>
      </w:r>
      <w:r>
        <w:rPr>
          <w:rFonts w:hint="eastAsia"/>
        </w:rPr>
        <w:t>～</w:t>
      </w:r>
      <w:r>
        <w:rPr>
          <w:rFonts w:hint="eastAsia"/>
        </w:rPr>
        <w:t>40</w:t>
      </w:r>
      <w:r>
        <w:rPr>
          <w:rFonts w:hint="eastAsia"/>
        </w:rPr>
        <w:t>）：</w:t>
      </w:r>
      <w:r>
        <w:rPr>
          <w:rFonts w:hint="eastAsia"/>
        </w:rPr>
        <w:t>1</w:t>
      </w:r>
      <w:r>
        <w:rPr>
          <w:rFonts w:hint="eastAsia"/>
        </w:rPr>
        <w:t>，一般</w:t>
      </w:r>
      <w:r>
        <w:rPr>
          <w:rFonts w:hint="eastAsia"/>
        </w:rPr>
        <w:t>1</w:t>
      </w:r>
      <w:r>
        <w:rPr>
          <w:rFonts w:hint="eastAsia"/>
        </w:rPr>
        <w:t xml:space="preserve"> t</w:t>
      </w:r>
      <w:r>
        <w:rPr>
          <w:rFonts w:hint="eastAsia"/>
        </w:rPr>
        <w:t>干燥秸秆可</w:t>
      </w:r>
      <w:r>
        <w:rPr>
          <w:rFonts w:hint="eastAsia"/>
        </w:rPr>
        <w:t>添加</w:t>
      </w:r>
      <w:r>
        <w:rPr>
          <w:rFonts w:hint="eastAsia"/>
        </w:rPr>
        <w:t>沼液</w:t>
      </w:r>
      <w:r>
        <w:rPr>
          <w:rFonts w:hint="eastAsia"/>
        </w:rPr>
        <w:t>2</w:t>
      </w:r>
      <w:r>
        <w:rPr>
          <w:rFonts w:hint="eastAsia"/>
        </w:rPr>
        <w:t xml:space="preserve"> t</w:t>
      </w:r>
      <w:r>
        <w:rPr>
          <w:rFonts w:hint="eastAsia"/>
        </w:rPr>
        <w:t>～</w:t>
      </w:r>
      <w:r>
        <w:rPr>
          <w:rFonts w:hint="eastAsia"/>
        </w:rPr>
        <w:t>3</w:t>
      </w:r>
      <w:r>
        <w:rPr>
          <w:rFonts w:hint="eastAsia"/>
        </w:rPr>
        <w:t xml:space="preserve"> t</w:t>
      </w:r>
      <w:r>
        <w:rPr>
          <w:rFonts w:hint="eastAsia"/>
        </w:rPr>
        <w:t>；</w:t>
      </w:r>
    </w:p>
    <w:p w:rsidR="00FA225B" w:rsidRDefault="007143E2">
      <w:pPr>
        <w:pStyle w:val="a"/>
      </w:pPr>
      <w:r>
        <w:rPr>
          <w:rFonts w:hint="eastAsia"/>
        </w:rPr>
        <w:t>将沼液和农作物秸秆</w:t>
      </w:r>
      <w:r>
        <w:rPr>
          <w:rFonts w:hint="eastAsia"/>
        </w:rPr>
        <w:t>及</w:t>
      </w:r>
      <w:r>
        <w:rPr>
          <w:rFonts w:hint="eastAsia"/>
        </w:rPr>
        <w:t>农</w:t>
      </w:r>
      <w:r>
        <w:rPr>
          <w:rFonts w:hint="eastAsia"/>
        </w:rPr>
        <w:t>林</w:t>
      </w:r>
      <w:r>
        <w:rPr>
          <w:rFonts w:hint="eastAsia"/>
        </w:rPr>
        <w:t>业废弃物及下脚料等原料用铲车等工具翻拌均匀，堆成宽</w:t>
      </w:r>
      <w:r>
        <w:rPr>
          <w:rFonts w:hint="eastAsia"/>
        </w:rPr>
        <w:t>2 m</w:t>
      </w:r>
      <w:r>
        <w:rPr>
          <w:rFonts w:hint="eastAsia"/>
        </w:rPr>
        <w:t>，高</w:t>
      </w:r>
      <w:r>
        <w:rPr>
          <w:rFonts w:hint="eastAsia"/>
        </w:rPr>
        <w:t>0.6</w:t>
      </w:r>
      <w:r>
        <w:rPr>
          <w:rFonts w:hint="eastAsia"/>
        </w:rPr>
        <w:t xml:space="preserve"> </w:t>
      </w:r>
      <w:r>
        <w:rPr>
          <w:rFonts w:hint="eastAsia"/>
        </w:rPr>
        <w:t>m</w:t>
      </w:r>
      <w:r>
        <w:rPr>
          <w:rFonts w:hint="eastAsia"/>
        </w:rPr>
        <w:t>～</w:t>
      </w:r>
      <w:r>
        <w:rPr>
          <w:rFonts w:hint="eastAsia"/>
        </w:rPr>
        <w:t>1.5</w:t>
      </w:r>
      <w:r>
        <w:rPr>
          <w:rFonts w:hint="eastAsia"/>
        </w:rPr>
        <w:t xml:space="preserve"> </w:t>
      </w:r>
      <w:r>
        <w:rPr>
          <w:rFonts w:hint="eastAsia"/>
        </w:rPr>
        <w:t>m</w:t>
      </w:r>
      <w:r>
        <w:rPr>
          <w:rFonts w:hint="eastAsia"/>
        </w:rPr>
        <w:t>的长垛，长度应根据发酵车间长度确定，堆制后，可采用膜覆盖，当混合物温度达到</w:t>
      </w:r>
      <w:r>
        <w:rPr>
          <w:rFonts w:hint="eastAsia"/>
        </w:rPr>
        <w:t>55</w:t>
      </w:r>
      <w:r>
        <w:rPr>
          <w:rFonts w:hint="eastAsia"/>
        </w:rPr>
        <w:t>℃～</w:t>
      </w:r>
      <w:r>
        <w:rPr>
          <w:rFonts w:hint="eastAsia"/>
        </w:rPr>
        <w:t>65</w:t>
      </w:r>
      <w:r>
        <w:rPr>
          <w:rFonts w:hint="eastAsia"/>
        </w:rPr>
        <w:t>℃时宜采用人工或机械翻堆。沼液生物固化发酵过程可分为下列阶段：</w:t>
      </w:r>
    </w:p>
    <w:p w:rsidR="00FA225B" w:rsidRDefault="007143E2">
      <w:pPr>
        <w:pStyle w:val="a0"/>
      </w:pPr>
      <w:r>
        <w:rPr>
          <w:rFonts w:hint="eastAsia"/>
        </w:rPr>
        <w:t>升温阶段：从常温升到</w:t>
      </w:r>
      <w:r>
        <w:rPr>
          <w:rFonts w:hint="eastAsia"/>
        </w:rPr>
        <w:t>55</w:t>
      </w:r>
      <w:r>
        <w:rPr>
          <w:rFonts w:hint="eastAsia"/>
        </w:rPr>
        <w:t>℃～</w:t>
      </w:r>
      <w:r>
        <w:rPr>
          <w:rFonts w:hint="eastAsia"/>
        </w:rPr>
        <w:t>65</w:t>
      </w:r>
      <w:r>
        <w:rPr>
          <w:rFonts w:hint="eastAsia"/>
        </w:rPr>
        <w:t>℃，宜为</w:t>
      </w:r>
      <w:r>
        <w:rPr>
          <w:rFonts w:hint="eastAsia"/>
        </w:rPr>
        <w:t>3 d</w:t>
      </w:r>
      <w:r>
        <w:rPr>
          <w:rFonts w:hint="eastAsia"/>
        </w:rPr>
        <w:t>～</w:t>
      </w:r>
      <w:r>
        <w:rPr>
          <w:rFonts w:hint="eastAsia"/>
        </w:rPr>
        <w:t>5 d</w:t>
      </w:r>
      <w:r>
        <w:rPr>
          <w:rFonts w:hint="eastAsia"/>
        </w:rPr>
        <w:t>，堆体温度首次上升至</w:t>
      </w:r>
      <w:r>
        <w:rPr>
          <w:rFonts w:hint="eastAsia"/>
        </w:rPr>
        <w:t>65</w:t>
      </w:r>
      <w:r>
        <w:rPr>
          <w:rFonts w:hint="eastAsia"/>
        </w:rPr>
        <w:t>℃时，翻堆一次；</w:t>
      </w:r>
    </w:p>
    <w:p w:rsidR="00FA225B" w:rsidRDefault="007143E2">
      <w:pPr>
        <w:pStyle w:val="a0"/>
      </w:pPr>
      <w:r>
        <w:rPr>
          <w:rFonts w:hint="eastAsia"/>
        </w:rPr>
        <w:t>高温阶段：堆体温</w:t>
      </w:r>
      <w:proofErr w:type="gramStart"/>
      <w:r>
        <w:rPr>
          <w:rFonts w:hint="eastAsia"/>
        </w:rPr>
        <w:t>度维持</w:t>
      </w:r>
      <w:proofErr w:type="gramEnd"/>
      <w:r>
        <w:rPr>
          <w:rFonts w:hint="eastAsia"/>
        </w:rPr>
        <w:t>在</w:t>
      </w:r>
      <w:r>
        <w:rPr>
          <w:rFonts w:hint="eastAsia"/>
        </w:rPr>
        <w:t>70</w:t>
      </w:r>
      <w:r>
        <w:rPr>
          <w:rFonts w:hint="eastAsia"/>
        </w:rPr>
        <w:t>℃～</w:t>
      </w:r>
      <w:r>
        <w:rPr>
          <w:rFonts w:hint="eastAsia"/>
        </w:rPr>
        <w:t>75</w:t>
      </w:r>
      <w:r>
        <w:rPr>
          <w:rFonts w:hint="eastAsia"/>
        </w:rPr>
        <w:t>℃以上，宜为</w:t>
      </w:r>
      <w:r>
        <w:rPr>
          <w:rFonts w:hint="eastAsia"/>
        </w:rPr>
        <w:t>10 d</w:t>
      </w:r>
      <w:r>
        <w:rPr>
          <w:rFonts w:hint="eastAsia"/>
        </w:rPr>
        <w:t>～</w:t>
      </w:r>
      <w:r>
        <w:rPr>
          <w:rFonts w:hint="eastAsia"/>
        </w:rPr>
        <w:t>15 d</w:t>
      </w:r>
      <w:r>
        <w:rPr>
          <w:rFonts w:hint="eastAsia"/>
        </w:rPr>
        <w:t>，每</w:t>
      </w:r>
      <w:r>
        <w:rPr>
          <w:rFonts w:hint="eastAsia"/>
        </w:rPr>
        <w:t>3 d</w:t>
      </w:r>
      <w:r>
        <w:rPr>
          <w:rFonts w:hint="eastAsia"/>
        </w:rPr>
        <w:t>翻堆一次；</w:t>
      </w:r>
    </w:p>
    <w:p w:rsidR="00FA225B" w:rsidRDefault="007143E2">
      <w:pPr>
        <w:pStyle w:val="a0"/>
      </w:pPr>
      <w:r>
        <w:rPr>
          <w:rFonts w:hint="eastAsia"/>
        </w:rPr>
        <w:t>降温阶段：从高温降到</w:t>
      </w:r>
      <w:r>
        <w:rPr>
          <w:rFonts w:hint="eastAsia"/>
        </w:rPr>
        <w:t>50</w:t>
      </w:r>
      <w:r>
        <w:rPr>
          <w:rFonts w:hint="eastAsia"/>
        </w:rPr>
        <w:t>℃以下，宜为</w:t>
      </w:r>
      <w:r>
        <w:rPr>
          <w:rFonts w:hint="eastAsia"/>
        </w:rPr>
        <w:t>8 d</w:t>
      </w:r>
      <w:r>
        <w:rPr>
          <w:rFonts w:hint="eastAsia"/>
        </w:rPr>
        <w:t>～</w:t>
      </w:r>
      <w:r>
        <w:rPr>
          <w:rFonts w:hint="eastAsia"/>
        </w:rPr>
        <w:t>10 d</w:t>
      </w:r>
      <w:r>
        <w:rPr>
          <w:rFonts w:hint="eastAsia"/>
        </w:rPr>
        <w:t>；</w:t>
      </w:r>
    </w:p>
    <w:p w:rsidR="00FA225B" w:rsidRDefault="007143E2">
      <w:pPr>
        <w:pStyle w:val="a0"/>
      </w:pPr>
      <w:r>
        <w:rPr>
          <w:rFonts w:hint="eastAsia"/>
        </w:rPr>
        <w:t>沼液生物固化过程应及时补充氧气</w:t>
      </w:r>
      <w:r>
        <w:rPr>
          <w:rFonts w:hint="eastAsia"/>
        </w:rPr>
        <w:t>，</w:t>
      </w:r>
      <w:r>
        <w:rPr>
          <w:rFonts w:hint="eastAsia"/>
        </w:rPr>
        <w:t>在升温阶</w:t>
      </w:r>
      <w:r>
        <w:rPr>
          <w:rFonts w:hint="eastAsia"/>
        </w:rPr>
        <w:t>段、高温阶段和降温</w:t>
      </w:r>
      <w:proofErr w:type="gramStart"/>
      <w:r>
        <w:rPr>
          <w:rFonts w:hint="eastAsia"/>
        </w:rPr>
        <w:t>阶段堆体每小时通过堆体底部</w:t>
      </w:r>
      <w:proofErr w:type="gramEnd"/>
      <w:r>
        <w:rPr>
          <w:rFonts w:hint="eastAsia"/>
        </w:rPr>
        <w:t>的通风管曝气</w:t>
      </w:r>
      <w:r>
        <w:rPr>
          <w:rFonts w:hint="eastAsia"/>
        </w:rPr>
        <w:t>15 min</w:t>
      </w:r>
      <w:r>
        <w:rPr>
          <w:rFonts w:hint="eastAsia"/>
        </w:rPr>
        <w:t>；</w:t>
      </w:r>
    </w:p>
    <w:p w:rsidR="00FA225B" w:rsidRDefault="007143E2">
      <w:pPr>
        <w:pStyle w:val="a0"/>
      </w:pPr>
      <w:r>
        <w:rPr>
          <w:rFonts w:hint="eastAsia"/>
        </w:rPr>
        <w:t>肥料经质检后可直接施用</w:t>
      </w:r>
      <w:r>
        <w:rPr>
          <w:rFonts w:hint="eastAsia"/>
        </w:rPr>
        <w:t>。</w:t>
      </w:r>
    </w:p>
    <w:p w:rsidR="00FA225B" w:rsidRDefault="007143E2">
      <w:pPr>
        <w:pStyle w:val="a5"/>
        <w:outlineLvl w:val="0"/>
        <w:rPr>
          <w:b/>
          <w:bCs/>
        </w:rPr>
      </w:pPr>
      <w:bookmarkStart w:id="45" w:name="_Toc23742"/>
      <w:r>
        <w:rPr>
          <w:rFonts w:ascii="Times New Roman" w:hint="eastAsia"/>
          <w:b/>
          <w:bCs/>
          <w:szCs w:val="21"/>
        </w:rPr>
        <w:t>腐熟判定</w:t>
      </w:r>
      <w:bookmarkEnd w:id="45"/>
    </w:p>
    <w:bookmarkEnd w:id="42"/>
    <w:bookmarkEnd w:id="43"/>
    <w:p w:rsidR="00FA225B" w:rsidRDefault="007143E2">
      <w:pPr>
        <w:pStyle w:val="a6"/>
        <w:rPr>
          <w:b/>
          <w:bCs/>
        </w:rPr>
      </w:pPr>
      <w:r>
        <w:rPr>
          <w:rFonts w:hint="eastAsia"/>
          <w:b/>
          <w:bCs/>
        </w:rPr>
        <w:t>外观标志及判定</w:t>
      </w:r>
    </w:p>
    <w:p w:rsidR="00FA225B" w:rsidRDefault="007143E2">
      <w:pPr>
        <w:pStyle w:val="af6"/>
      </w:pPr>
      <w:r>
        <w:rPr>
          <w:rFonts w:hint="eastAsia"/>
        </w:rPr>
        <w:lastRenderedPageBreak/>
        <w:t>物料变成褐色或黑褐色，</w:t>
      </w:r>
      <w:proofErr w:type="gramStart"/>
      <w:r>
        <w:rPr>
          <w:rFonts w:hint="eastAsia"/>
        </w:rPr>
        <w:t>堆体体积</w:t>
      </w:r>
      <w:proofErr w:type="gramEnd"/>
      <w:r>
        <w:rPr>
          <w:rFonts w:hint="eastAsia"/>
        </w:rPr>
        <w:t>比初始</w:t>
      </w:r>
      <w:proofErr w:type="gramStart"/>
      <w:r>
        <w:rPr>
          <w:rFonts w:hint="eastAsia"/>
        </w:rPr>
        <w:t>堆体减少</w:t>
      </w:r>
      <w:proofErr w:type="gramEnd"/>
      <w:r>
        <w:rPr>
          <w:rFonts w:hint="eastAsia"/>
        </w:rPr>
        <w:t>1/3</w:t>
      </w:r>
      <w:r>
        <w:rPr>
          <w:rFonts w:hint="eastAsia"/>
        </w:rPr>
        <w:t>～</w:t>
      </w:r>
      <w:r>
        <w:rPr>
          <w:rFonts w:hint="eastAsia"/>
        </w:rPr>
        <w:t>1/2</w:t>
      </w:r>
      <w:r>
        <w:rPr>
          <w:rFonts w:hint="eastAsia"/>
        </w:rPr>
        <w:t>。</w:t>
      </w:r>
    </w:p>
    <w:p w:rsidR="00FA225B" w:rsidRDefault="007143E2">
      <w:pPr>
        <w:pStyle w:val="a6"/>
        <w:rPr>
          <w:b/>
          <w:bCs/>
        </w:rPr>
      </w:pPr>
      <w:r>
        <w:rPr>
          <w:rFonts w:hint="eastAsia"/>
          <w:b/>
          <w:bCs/>
        </w:rPr>
        <w:t>温度标志及判定</w:t>
      </w:r>
    </w:p>
    <w:p w:rsidR="00FA225B" w:rsidRDefault="007143E2">
      <w:pPr>
        <w:pStyle w:val="afa"/>
        <w:ind w:firstLine="420"/>
      </w:pPr>
      <w:proofErr w:type="gramStart"/>
      <w:r>
        <w:rPr>
          <w:rFonts w:hint="eastAsia"/>
        </w:rPr>
        <w:t>堆体经过</w:t>
      </w:r>
      <w:proofErr w:type="gramEnd"/>
      <w:r>
        <w:rPr>
          <w:rFonts w:hint="eastAsia"/>
        </w:rPr>
        <w:t>升温和高温阶段后，堆体温度降至</w:t>
      </w:r>
      <w:r>
        <w:rPr>
          <w:rFonts w:hint="eastAsia"/>
        </w:rPr>
        <w:t>50</w:t>
      </w:r>
      <w:r>
        <w:rPr>
          <w:rFonts w:hint="eastAsia"/>
        </w:rPr>
        <w:t>℃以下，且不再回升。采用接触式温度计测定堆体表层以下</w:t>
      </w:r>
      <w:r>
        <w:rPr>
          <w:rFonts w:hint="eastAsia"/>
        </w:rPr>
        <w:t>40 cm</w:t>
      </w:r>
      <w:r>
        <w:rPr>
          <w:rFonts w:hint="eastAsia"/>
        </w:rPr>
        <w:t>～</w:t>
      </w:r>
      <w:r>
        <w:rPr>
          <w:rFonts w:hint="eastAsia"/>
        </w:rPr>
        <w:t>50 cm</w:t>
      </w:r>
      <w:r>
        <w:rPr>
          <w:rFonts w:hint="eastAsia"/>
        </w:rPr>
        <w:t>处温度，每天同一时间测试</w:t>
      </w:r>
      <w:r>
        <w:rPr>
          <w:rFonts w:hint="eastAsia"/>
        </w:rPr>
        <w:t>1</w:t>
      </w:r>
      <w:r>
        <w:rPr>
          <w:rFonts w:hint="eastAsia"/>
        </w:rPr>
        <w:t>次，</w:t>
      </w:r>
      <w:proofErr w:type="gramStart"/>
      <w:r>
        <w:rPr>
          <w:rFonts w:hint="eastAsia"/>
        </w:rPr>
        <w:t>在堆体的</w:t>
      </w:r>
      <w:proofErr w:type="gramEnd"/>
      <w:r>
        <w:rPr>
          <w:rFonts w:hint="eastAsia"/>
        </w:rPr>
        <w:t>中间顶部</w:t>
      </w:r>
      <w:proofErr w:type="gramStart"/>
      <w:r>
        <w:rPr>
          <w:rFonts w:hint="eastAsia"/>
        </w:rPr>
        <w:t>和堆体的</w:t>
      </w:r>
      <w:proofErr w:type="gramEnd"/>
      <w:r>
        <w:rPr>
          <w:rFonts w:hint="eastAsia"/>
        </w:rPr>
        <w:t>两侧（前段、中间、末端）</w:t>
      </w:r>
      <w:r>
        <w:rPr>
          <w:rFonts w:hint="eastAsia"/>
        </w:rPr>
        <w:t>测试</w:t>
      </w:r>
      <w:r>
        <w:rPr>
          <w:rFonts w:hint="eastAsia"/>
        </w:rPr>
        <w:t>7</w:t>
      </w:r>
      <w:r>
        <w:rPr>
          <w:rFonts w:hint="eastAsia"/>
        </w:rPr>
        <w:t>处以上取平均值</w:t>
      </w:r>
      <w:r>
        <w:rPr>
          <w:rFonts w:ascii="Times New Roman" w:hint="eastAsia"/>
          <w:szCs w:val="22"/>
        </w:rPr>
        <w:t>。</w:t>
      </w:r>
    </w:p>
    <w:p w:rsidR="00FA225B" w:rsidRDefault="007143E2">
      <w:pPr>
        <w:pStyle w:val="a6"/>
        <w:rPr>
          <w:b/>
          <w:bCs/>
        </w:rPr>
      </w:pPr>
      <w:r>
        <w:rPr>
          <w:rFonts w:hint="eastAsia"/>
          <w:b/>
          <w:bCs/>
        </w:rPr>
        <w:t>理化标志及判定</w:t>
      </w:r>
    </w:p>
    <w:p w:rsidR="00FA225B" w:rsidRDefault="007143E2">
      <w:pPr>
        <w:pStyle w:val="afa"/>
        <w:ind w:firstLine="420"/>
      </w:pPr>
      <w:r>
        <w:rPr>
          <w:rFonts w:hint="eastAsia"/>
        </w:rPr>
        <w:t>物料中的有机质、总养分、</w:t>
      </w:r>
      <w:r>
        <w:rPr>
          <w:rFonts w:hint="eastAsia"/>
        </w:rPr>
        <w:t>重金属、</w:t>
      </w:r>
      <w:r>
        <w:rPr>
          <w:rFonts w:hint="eastAsia"/>
        </w:rPr>
        <w:t>大</w:t>
      </w:r>
      <w:r>
        <w:rPr>
          <w:rFonts w:hint="eastAsia"/>
        </w:rPr>
        <w:t>肠杆菌数量、蛔虫死亡率和含水量等指标</w:t>
      </w:r>
      <w:r>
        <w:rPr>
          <w:rFonts w:hint="eastAsia"/>
        </w:rPr>
        <w:t>应符合</w:t>
      </w:r>
      <w:r>
        <w:rPr>
          <w:rFonts w:hint="eastAsia"/>
        </w:rPr>
        <w:t>NY/T 525</w:t>
      </w:r>
      <w:r>
        <w:rPr>
          <w:rFonts w:hint="eastAsia"/>
        </w:rPr>
        <w:t>的要求。</w:t>
      </w:r>
    </w:p>
    <w:p w:rsidR="00FA225B" w:rsidRDefault="007143E2">
      <w:pPr>
        <w:pStyle w:val="a5"/>
        <w:outlineLvl w:val="0"/>
        <w:rPr>
          <w:rFonts w:ascii="Times New Roman"/>
          <w:b/>
          <w:bCs/>
          <w:szCs w:val="21"/>
        </w:rPr>
      </w:pPr>
      <w:bookmarkStart w:id="46" w:name="_Toc24646"/>
      <w:r>
        <w:rPr>
          <w:rFonts w:ascii="Times New Roman" w:hint="eastAsia"/>
          <w:b/>
          <w:bCs/>
          <w:szCs w:val="21"/>
        </w:rPr>
        <w:t>筛分</w:t>
      </w:r>
      <w:bookmarkEnd w:id="46"/>
    </w:p>
    <w:p w:rsidR="00FA225B" w:rsidRDefault="007143E2">
      <w:pPr>
        <w:pStyle w:val="af6"/>
        <w:spacing w:line="360" w:lineRule="auto"/>
      </w:pPr>
      <w:r>
        <w:rPr>
          <w:rFonts w:hint="eastAsia"/>
        </w:rPr>
        <w:t>筛分宜利用筛分机，筛分孔径不应大于</w:t>
      </w:r>
      <w:r>
        <w:rPr>
          <w:rFonts w:hint="eastAsia"/>
        </w:rPr>
        <w:t>5 mm</w:t>
      </w:r>
      <w:r>
        <w:rPr>
          <w:rFonts w:hint="eastAsia"/>
        </w:rPr>
        <w:t>。通过孔径的腐熟物料为沼液生物固化工艺后的有机肥成品，未通过孔径的物料应返</w:t>
      </w:r>
      <w:r>
        <w:rPr>
          <w:rFonts w:hint="eastAsia"/>
        </w:rPr>
        <w:t>回</w:t>
      </w:r>
      <w:r>
        <w:rPr>
          <w:rFonts w:hint="eastAsia"/>
        </w:rPr>
        <w:t>至</w:t>
      </w:r>
      <w:proofErr w:type="gramStart"/>
      <w:r>
        <w:rPr>
          <w:rFonts w:hint="eastAsia"/>
        </w:rPr>
        <w:t>发酵堆体中</w:t>
      </w:r>
      <w:proofErr w:type="gramEnd"/>
      <w:r>
        <w:rPr>
          <w:rFonts w:hint="eastAsia"/>
        </w:rPr>
        <w:t>继续与新鲜沼液堆制发酵</w:t>
      </w:r>
      <w:r>
        <w:rPr>
          <w:rFonts w:ascii="Times New Roman"/>
        </w:rPr>
        <w:t>。</w:t>
      </w:r>
    </w:p>
    <w:p w:rsidR="00FA225B" w:rsidRDefault="007143E2">
      <w:pPr>
        <w:pStyle w:val="a5"/>
        <w:outlineLvl w:val="0"/>
        <w:rPr>
          <w:rFonts w:ascii="Times New Roman"/>
          <w:b/>
          <w:bCs/>
          <w:szCs w:val="21"/>
        </w:rPr>
      </w:pPr>
      <w:bookmarkStart w:id="47" w:name="_Toc135919186"/>
      <w:r>
        <w:rPr>
          <w:rFonts w:ascii="Times New Roman" w:hint="eastAsia"/>
          <w:b/>
          <w:bCs/>
          <w:szCs w:val="21"/>
        </w:rPr>
        <w:t>标志、包装、运输和贮存</w:t>
      </w:r>
      <w:bookmarkEnd w:id="47"/>
    </w:p>
    <w:p w:rsidR="00FA225B" w:rsidRDefault="007143E2" w:rsidP="00685D95">
      <w:pPr>
        <w:pStyle w:val="a5"/>
        <w:numPr>
          <w:ilvl w:val="0"/>
          <w:numId w:val="0"/>
        </w:numPr>
        <w:outlineLvl w:val="0"/>
        <w:rPr>
          <w:rFonts w:ascii="Times New Roman"/>
          <w:b/>
          <w:bCs/>
          <w:szCs w:val="21"/>
        </w:rPr>
      </w:pPr>
      <w:bookmarkStart w:id="48" w:name="_Toc135919187"/>
      <w:r>
        <w:rPr>
          <w:rFonts w:ascii="Times New Roman" w:hint="eastAsia"/>
          <w:b/>
          <w:bCs/>
          <w:szCs w:val="21"/>
        </w:rPr>
        <w:t xml:space="preserve">8.1 </w:t>
      </w:r>
      <w:r>
        <w:rPr>
          <w:rFonts w:ascii="Times New Roman" w:hint="eastAsia"/>
          <w:b/>
          <w:bCs/>
          <w:szCs w:val="21"/>
        </w:rPr>
        <w:t>标志、包装和运输</w:t>
      </w:r>
      <w:bookmarkEnd w:id="48"/>
    </w:p>
    <w:p w:rsidR="00FA225B" w:rsidRDefault="007143E2">
      <w:pPr>
        <w:pStyle w:val="afa"/>
        <w:ind w:firstLine="420"/>
      </w:pPr>
      <w:r>
        <w:rPr>
          <w:rFonts w:hint="eastAsia"/>
        </w:rPr>
        <w:t>标志、包装和运输应按</w:t>
      </w:r>
      <w:r>
        <w:rPr>
          <w:rFonts w:hint="eastAsia"/>
        </w:rPr>
        <w:t>NY/T 525</w:t>
      </w:r>
      <w:r>
        <w:rPr>
          <w:rFonts w:hint="eastAsia"/>
        </w:rPr>
        <w:t>执行。</w:t>
      </w:r>
    </w:p>
    <w:p w:rsidR="00FA225B" w:rsidRDefault="007143E2" w:rsidP="00685D95">
      <w:pPr>
        <w:pStyle w:val="a3"/>
        <w:numPr>
          <w:ilvl w:val="2"/>
          <w:numId w:val="0"/>
        </w:numPr>
        <w:spacing w:before="156" w:after="156"/>
      </w:pPr>
      <w:bookmarkStart w:id="49" w:name="_Toc135919188"/>
      <w:bookmarkStart w:id="50" w:name="_GoBack"/>
      <w:bookmarkEnd w:id="50"/>
      <w:r>
        <w:rPr>
          <w:rFonts w:hint="eastAsia"/>
        </w:rPr>
        <w:t xml:space="preserve">8.2 </w:t>
      </w:r>
      <w:r>
        <w:rPr>
          <w:rFonts w:hint="eastAsia"/>
        </w:rPr>
        <w:t>贮存</w:t>
      </w:r>
      <w:bookmarkEnd w:id="49"/>
    </w:p>
    <w:p w:rsidR="00FA225B" w:rsidRDefault="007143E2">
      <w:pPr>
        <w:pStyle w:val="afa"/>
        <w:ind w:firstLine="420"/>
      </w:pPr>
      <w:r>
        <w:rPr>
          <w:rFonts w:hint="eastAsia"/>
        </w:rPr>
        <w:t>生物固化后的有机肥料宜贮存于阴凉干燥处。</w:t>
      </w:r>
    </w:p>
    <w:p w:rsidR="00FA225B" w:rsidRDefault="00FA225B">
      <w:pPr>
        <w:pStyle w:val="afa"/>
        <w:ind w:firstLineChars="0" w:firstLine="0"/>
        <w:rPr>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685D95" w:rsidRDefault="00685D95" w:rsidP="00685D95">
      <w:pPr>
        <w:pStyle w:val="afa"/>
        <w:ind w:firstLine="422"/>
        <w:jc w:val="center"/>
        <w:rPr>
          <w:rFonts w:hint="eastAsia"/>
          <w:b/>
          <w:bCs/>
        </w:rPr>
      </w:pPr>
    </w:p>
    <w:p w:rsidR="00FA225B" w:rsidRDefault="007143E2" w:rsidP="00685D95">
      <w:pPr>
        <w:pStyle w:val="afa"/>
        <w:ind w:firstLine="422"/>
        <w:jc w:val="center"/>
        <w:rPr>
          <w:rFonts w:hint="eastAsia"/>
          <w:b/>
          <w:bCs/>
        </w:rPr>
      </w:pPr>
      <w:r>
        <w:rPr>
          <w:rFonts w:hint="eastAsia"/>
          <w:b/>
          <w:bCs/>
        </w:rPr>
        <w:lastRenderedPageBreak/>
        <w:t>参</w:t>
      </w:r>
      <w:r>
        <w:rPr>
          <w:rFonts w:hint="eastAsia"/>
          <w:b/>
          <w:bCs/>
        </w:rPr>
        <w:t xml:space="preserve"> </w:t>
      </w:r>
      <w:r>
        <w:rPr>
          <w:rFonts w:hint="eastAsia"/>
          <w:b/>
          <w:bCs/>
        </w:rPr>
        <w:t>考</w:t>
      </w:r>
      <w:r>
        <w:rPr>
          <w:rFonts w:hint="eastAsia"/>
          <w:b/>
          <w:bCs/>
        </w:rPr>
        <w:t xml:space="preserve"> </w:t>
      </w:r>
      <w:r>
        <w:rPr>
          <w:rFonts w:hint="eastAsia"/>
          <w:b/>
          <w:bCs/>
        </w:rPr>
        <w:t>文</w:t>
      </w:r>
      <w:r>
        <w:rPr>
          <w:rFonts w:hint="eastAsia"/>
          <w:b/>
          <w:bCs/>
        </w:rPr>
        <w:t xml:space="preserve"> </w:t>
      </w:r>
      <w:r>
        <w:rPr>
          <w:rFonts w:hint="eastAsia"/>
          <w:b/>
          <w:bCs/>
        </w:rPr>
        <w:t>献</w:t>
      </w:r>
    </w:p>
    <w:p w:rsidR="00685D95" w:rsidRDefault="00685D95" w:rsidP="00685D95">
      <w:pPr>
        <w:pStyle w:val="afa"/>
        <w:ind w:firstLine="422"/>
        <w:jc w:val="center"/>
        <w:rPr>
          <w:b/>
          <w:bCs/>
        </w:rPr>
      </w:pPr>
    </w:p>
    <w:p w:rsidR="00FA225B" w:rsidRDefault="007143E2" w:rsidP="00685D95">
      <w:pPr>
        <w:pStyle w:val="af6"/>
        <w:spacing w:line="360" w:lineRule="exact"/>
        <w:ind w:firstLine="400"/>
        <w:jc w:val="left"/>
        <w:rPr>
          <w:rFonts w:ascii="Times New Roman"/>
          <w:szCs w:val="22"/>
        </w:rPr>
      </w:pPr>
      <w:r>
        <w:rPr>
          <w:rFonts w:ascii="Times New Roman" w:eastAsiaTheme="minorEastAsia"/>
          <w:kern w:val="2"/>
          <w:sz w:val="20"/>
          <w:szCs w:val="24"/>
        </w:rPr>
        <w:t>[1]</w:t>
      </w:r>
      <w:r>
        <w:rPr>
          <w:rFonts w:ascii="Times New Roman" w:hint="eastAsia"/>
          <w:kern w:val="2"/>
          <w:sz w:val="20"/>
          <w:szCs w:val="24"/>
        </w:rPr>
        <w:t xml:space="preserve"> </w:t>
      </w:r>
      <w:r>
        <w:rPr>
          <w:rFonts w:ascii="Times New Roman" w:hint="eastAsia"/>
          <w:szCs w:val="22"/>
        </w:rPr>
        <w:t xml:space="preserve">GB 7959-2012 </w:t>
      </w:r>
      <w:r>
        <w:rPr>
          <w:rFonts w:ascii="Times New Roman" w:hint="eastAsia"/>
          <w:szCs w:val="22"/>
        </w:rPr>
        <w:t>粪便无害</w:t>
      </w:r>
      <w:proofErr w:type="gramStart"/>
      <w:r>
        <w:rPr>
          <w:rFonts w:ascii="Times New Roman" w:hint="eastAsia"/>
          <w:szCs w:val="22"/>
        </w:rPr>
        <w:t>化卫生</w:t>
      </w:r>
      <w:proofErr w:type="gramEnd"/>
      <w:r>
        <w:rPr>
          <w:rFonts w:ascii="Times New Roman" w:hint="eastAsia"/>
          <w:szCs w:val="22"/>
        </w:rPr>
        <w:t>要求</w:t>
      </w:r>
    </w:p>
    <w:p w:rsidR="00FA225B" w:rsidRDefault="007143E2" w:rsidP="00685D95">
      <w:pPr>
        <w:pStyle w:val="af6"/>
        <w:spacing w:line="360" w:lineRule="exact"/>
        <w:ind w:firstLine="400"/>
        <w:jc w:val="left"/>
        <w:rPr>
          <w:rFonts w:ascii="Times New Roman"/>
          <w:szCs w:val="22"/>
        </w:rPr>
      </w:pPr>
      <w:r>
        <w:rPr>
          <w:rFonts w:ascii="Times New Roman" w:eastAsiaTheme="minorEastAsia"/>
          <w:kern w:val="2"/>
          <w:sz w:val="20"/>
          <w:szCs w:val="24"/>
        </w:rPr>
        <w:t>[</w:t>
      </w:r>
      <w:r>
        <w:rPr>
          <w:rFonts w:ascii="Times New Roman" w:eastAsiaTheme="minorEastAsia" w:hint="eastAsia"/>
          <w:kern w:val="2"/>
          <w:sz w:val="20"/>
          <w:szCs w:val="24"/>
        </w:rPr>
        <w:t>2</w:t>
      </w:r>
      <w:r>
        <w:rPr>
          <w:rFonts w:ascii="Times New Roman" w:eastAsiaTheme="minorEastAsia"/>
          <w:kern w:val="2"/>
          <w:sz w:val="20"/>
          <w:szCs w:val="24"/>
        </w:rPr>
        <w:t>]</w:t>
      </w:r>
      <w:r>
        <w:rPr>
          <w:rFonts w:ascii="Times New Roman" w:hint="eastAsia"/>
          <w:kern w:val="2"/>
          <w:sz w:val="20"/>
          <w:szCs w:val="24"/>
        </w:rPr>
        <w:t xml:space="preserve"> </w:t>
      </w:r>
      <w:r>
        <w:rPr>
          <w:rFonts w:ascii="Times New Roman" w:hint="eastAsia"/>
          <w:szCs w:val="22"/>
        </w:rPr>
        <w:t xml:space="preserve">GB/T 40750-2021 </w:t>
      </w:r>
      <w:r>
        <w:rPr>
          <w:rFonts w:ascii="Times New Roman" w:hint="eastAsia"/>
          <w:szCs w:val="22"/>
        </w:rPr>
        <w:t>农用沼液</w:t>
      </w:r>
    </w:p>
    <w:p w:rsidR="00FA225B" w:rsidRDefault="007143E2" w:rsidP="00685D95">
      <w:pPr>
        <w:pStyle w:val="af6"/>
        <w:spacing w:line="360" w:lineRule="exact"/>
        <w:ind w:firstLine="400"/>
        <w:jc w:val="left"/>
        <w:rPr>
          <w:rFonts w:ascii="Times New Roman"/>
          <w:szCs w:val="22"/>
        </w:rPr>
      </w:pPr>
      <w:r>
        <w:rPr>
          <w:rFonts w:ascii="Times New Roman" w:eastAsiaTheme="minorEastAsia"/>
          <w:kern w:val="2"/>
          <w:sz w:val="20"/>
          <w:szCs w:val="24"/>
        </w:rPr>
        <w:t>[</w:t>
      </w:r>
      <w:r>
        <w:rPr>
          <w:rFonts w:ascii="Times New Roman" w:eastAsiaTheme="minorEastAsia" w:hint="eastAsia"/>
          <w:kern w:val="2"/>
          <w:sz w:val="20"/>
          <w:szCs w:val="24"/>
        </w:rPr>
        <w:t>3</w:t>
      </w:r>
      <w:r>
        <w:rPr>
          <w:rFonts w:ascii="Times New Roman" w:eastAsiaTheme="minorEastAsia"/>
          <w:kern w:val="2"/>
          <w:sz w:val="20"/>
          <w:szCs w:val="24"/>
        </w:rPr>
        <w:t>]</w:t>
      </w:r>
      <w:r>
        <w:rPr>
          <w:rFonts w:ascii="Times New Roman" w:hint="eastAsia"/>
          <w:kern w:val="2"/>
          <w:sz w:val="20"/>
          <w:szCs w:val="24"/>
        </w:rPr>
        <w:t xml:space="preserve"> </w:t>
      </w:r>
      <w:r>
        <w:rPr>
          <w:rFonts w:ascii="Times New Roman"/>
          <w:szCs w:val="22"/>
        </w:rPr>
        <w:t>NYT</w:t>
      </w:r>
      <w:r>
        <w:rPr>
          <w:rFonts w:ascii="Times New Roman" w:hint="eastAsia"/>
          <w:szCs w:val="22"/>
        </w:rPr>
        <w:t xml:space="preserve"> </w:t>
      </w:r>
      <w:r>
        <w:rPr>
          <w:rFonts w:ascii="Times New Roman"/>
          <w:szCs w:val="22"/>
        </w:rPr>
        <w:t>2374-2013</w:t>
      </w:r>
      <w:r>
        <w:rPr>
          <w:rFonts w:ascii="Times New Roman" w:hint="eastAsia"/>
          <w:szCs w:val="22"/>
        </w:rPr>
        <w:t xml:space="preserve"> </w:t>
      </w:r>
      <w:r>
        <w:rPr>
          <w:rFonts w:ascii="Times New Roman"/>
          <w:szCs w:val="22"/>
        </w:rPr>
        <w:t>沼气工程沼液沼渣后处理技术规范</w:t>
      </w:r>
    </w:p>
    <w:p w:rsidR="00FA225B" w:rsidRDefault="007143E2" w:rsidP="00685D95">
      <w:pPr>
        <w:pStyle w:val="af6"/>
        <w:spacing w:line="360" w:lineRule="exact"/>
        <w:ind w:firstLine="400"/>
        <w:jc w:val="left"/>
        <w:rPr>
          <w:rFonts w:ascii="Times New Roman"/>
          <w:szCs w:val="22"/>
        </w:rPr>
      </w:pPr>
      <w:r>
        <w:rPr>
          <w:rFonts w:ascii="Times New Roman" w:eastAsiaTheme="minorEastAsia"/>
          <w:kern w:val="2"/>
          <w:sz w:val="20"/>
          <w:szCs w:val="24"/>
        </w:rPr>
        <w:t>[</w:t>
      </w:r>
      <w:r>
        <w:rPr>
          <w:rFonts w:ascii="Times New Roman" w:eastAsiaTheme="minorEastAsia" w:hint="eastAsia"/>
          <w:kern w:val="2"/>
          <w:sz w:val="20"/>
          <w:szCs w:val="24"/>
        </w:rPr>
        <w:t>4</w:t>
      </w:r>
      <w:r>
        <w:rPr>
          <w:rFonts w:ascii="Times New Roman" w:eastAsiaTheme="minorEastAsia"/>
          <w:kern w:val="2"/>
          <w:sz w:val="20"/>
          <w:szCs w:val="24"/>
        </w:rPr>
        <w:t>]</w:t>
      </w:r>
      <w:r>
        <w:rPr>
          <w:rFonts w:ascii="Times New Roman" w:hint="eastAsia"/>
          <w:kern w:val="2"/>
          <w:sz w:val="20"/>
          <w:szCs w:val="24"/>
        </w:rPr>
        <w:t xml:space="preserve"> </w:t>
      </w:r>
      <w:r>
        <w:rPr>
          <w:rFonts w:ascii="Times New Roman" w:hint="eastAsia"/>
          <w:szCs w:val="22"/>
        </w:rPr>
        <w:t xml:space="preserve">DB32/T 3626-2019 </w:t>
      </w:r>
      <w:r>
        <w:rPr>
          <w:rFonts w:ascii="Times New Roman" w:hint="eastAsia"/>
          <w:szCs w:val="22"/>
        </w:rPr>
        <w:t>秸秆有机肥制作技术规程</w:t>
      </w:r>
    </w:p>
    <w:p w:rsidR="00FA225B" w:rsidRDefault="007143E2" w:rsidP="00685D95">
      <w:pPr>
        <w:pStyle w:val="af6"/>
        <w:spacing w:line="360" w:lineRule="exact"/>
        <w:ind w:firstLine="400"/>
        <w:jc w:val="left"/>
        <w:rPr>
          <w:szCs w:val="21"/>
        </w:rPr>
      </w:pPr>
      <w:r>
        <w:rPr>
          <w:rFonts w:ascii="Times New Roman" w:eastAsiaTheme="minorEastAsia"/>
          <w:kern w:val="2"/>
          <w:sz w:val="20"/>
          <w:szCs w:val="24"/>
        </w:rPr>
        <w:t>[</w:t>
      </w:r>
      <w:r>
        <w:rPr>
          <w:rFonts w:ascii="Times New Roman" w:eastAsiaTheme="minorEastAsia" w:hint="eastAsia"/>
          <w:kern w:val="2"/>
          <w:sz w:val="20"/>
          <w:szCs w:val="24"/>
        </w:rPr>
        <w:t>5</w:t>
      </w:r>
      <w:r>
        <w:rPr>
          <w:rFonts w:ascii="Times New Roman" w:eastAsiaTheme="minorEastAsia"/>
          <w:kern w:val="2"/>
          <w:sz w:val="20"/>
          <w:szCs w:val="24"/>
        </w:rPr>
        <w:t>]</w:t>
      </w:r>
      <w:r>
        <w:rPr>
          <w:rFonts w:ascii="Times New Roman" w:hint="eastAsia"/>
          <w:kern w:val="2"/>
          <w:sz w:val="20"/>
          <w:szCs w:val="24"/>
        </w:rPr>
        <w:t xml:space="preserve"> </w:t>
      </w:r>
      <w:r>
        <w:rPr>
          <w:rFonts w:ascii="Times New Roman" w:hint="eastAsia"/>
          <w:szCs w:val="22"/>
        </w:rPr>
        <w:t>DB23/T 3243-2022</w:t>
      </w:r>
      <w:r>
        <w:rPr>
          <w:rFonts w:ascii="Times New Roman"/>
          <w:szCs w:val="22"/>
        </w:rPr>
        <w:t xml:space="preserve"> </w:t>
      </w:r>
      <w:r>
        <w:rPr>
          <w:rFonts w:ascii="Times New Roman" w:hint="eastAsia"/>
          <w:szCs w:val="22"/>
        </w:rPr>
        <w:t>沼渣沼液处理技术规范</w:t>
      </w:r>
    </w:p>
    <w:p w:rsidR="00FA225B" w:rsidRDefault="00FA225B">
      <w:pPr>
        <w:pStyle w:val="af6"/>
        <w:ind w:firstLineChars="0" w:firstLine="0"/>
        <w:jc w:val="right"/>
      </w:pPr>
    </w:p>
    <w:p w:rsidR="00FA225B" w:rsidRDefault="007143E2">
      <w:pPr>
        <w:jc w:val="center"/>
      </w:pPr>
      <w:bookmarkStart w:id="51" w:name="BookMark8"/>
      <w:r>
        <w:rPr>
          <w:rFonts w:hint="eastAsia"/>
          <w:noProof/>
        </w:rPr>
        <w:drawing>
          <wp:inline distT="0" distB="0" distL="0" distR="0">
            <wp:extent cx="1485900" cy="317500"/>
            <wp:effectExtent l="0" t="0" r="7620" b="254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FA225B">
      <w:headerReference w:type="default" r:id="rId18"/>
      <w:footerReference w:type="even" r:id="rId19"/>
      <w:footerReference w:type="default" r:id="rId20"/>
      <w:headerReference w:type="first" r:id="rId21"/>
      <w:footerReference w:type="first" r:id="rId22"/>
      <w:pgSz w:w="11906" w:h="16838"/>
      <w:pgMar w:top="1418" w:right="1134" w:bottom="1134" w:left="1418" w:header="1423"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3E2" w:rsidRDefault="007143E2">
      <w:r>
        <w:separator/>
      </w:r>
    </w:p>
  </w:endnote>
  <w:endnote w:type="continuationSeparator" w:id="0">
    <w:p w:rsidR="007143E2" w:rsidRDefault="0071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225B" w:rsidRDefault="007143E2">
                          <w:pPr>
                            <w:pStyle w:val="af"/>
                          </w:pPr>
                          <w:r>
                            <w:fldChar w:fldCharType="begin"/>
                          </w:r>
                          <w:r>
                            <w:instrText xml:space="preserve"> PAGE  \* MERGEFORMAT </w:instrText>
                          </w:r>
                          <w:r>
                            <w:fldChar w:fldCharType="separate"/>
                          </w:r>
                          <w:r w:rsidR="00685D95">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FA225B" w:rsidRDefault="007143E2">
                    <w:pPr>
                      <w:pStyle w:val="af"/>
                    </w:pPr>
                    <w:r>
                      <w:fldChar w:fldCharType="begin"/>
                    </w:r>
                    <w:r>
                      <w:instrText xml:space="preserve"> PAGE  \* MERGEFORMAT </w:instrText>
                    </w:r>
                    <w:r>
                      <w:fldChar w:fldCharType="separate"/>
                    </w:r>
                    <w:r w:rsidR="00685D95">
                      <w:rPr>
                        <w:noProof/>
                      </w:rPr>
                      <w:t>II</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225B" w:rsidRDefault="007143E2">
                          <w:pPr>
                            <w:pStyle w:val="af"/>
                          </w:pPr>
                          <w:r>
                            <w:fldChar w:fldCharType="begin"/>
                          </w:r>
                          <w:r>
                            <w:instrText>PAGE   \* MERGEFORMAT</w:instrText>
                          </w:r>
                          <w:r>
                            <w:fldChar w:fldCharType="separate"/>
                          </w:r>
                          <w:r>
                            <w:rPr>
                              <w:lang w:val="zh-CN"/>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PAGE   \* MERGEFORMAT</w:instrText>
                    </w:r>
                    <w:r>
                      <w:fldChar w:fldCharType="separate"/>
                    </w:r>
                    <w:r>
                      <w:rPr>
                        <w:lang w:val="zh-CN"/>
                      </w:rPr>
                      <w:t>III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
    </w:pPr>
    <w:r>
      <w:rPr>
        <w:noProof/>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225B" w:rsidRDefault="007143E2">
                          <w:pPr>
                            <w:pStyle w:val="af"/>
                          </w:pPr>
                          <w:r>
                            <w:fldChar w:fldCharType="begin"/>
                          </w:r>
                          <w:r>
                            <w:instrText xml:space="preserve"> PAGE  \* MERGEFORMAT </w:instrText>
                          </w:r>
                          <w:r>
                            <w:fldChar w:fldCharType="separate"/>
                          </w:r>
                          <w:r w:rsidR="00685D95">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8" type="#_x0000_t202" style="position:absolute;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2OZA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OvxjY5kAgAAEwUAAA4AAAAAAAAAAAAAAAAALgIAAGRycy9lMm9Eb2Mu&#10;eG1sUEsBAi0AFAAGAAgAAAAhAHGq0bnXAAAABQEAAA8AAAAAAAAAAAAAAAAAvgQAAGRycy9kb3du&#10;cmV2LnhtbFBLBQYAAAAABAAEAPMAAADCBQAAAAA=&#10;" filled="f" stroked="f" strokeweight=".5pt">
              <v:textbox style="mso-fit-shape-to-text:t" inset="0,0,0,0">
                <w:txbxContent>
                  <w:p w:rsidR="00FA225B" w:rsidRDefault="007143E2">
                    <w:pPr>
                      <w:pStyle w:val="af"/>
                    </w:pPr>
                    <w:r>
                      <w:fldChar w:fldCharType="begin"/>
                    </w:r>
                    <w:r>
                      <w:instrText xml:space="preserve"> PAGE  \* MERGEFORMAT </w:instrText>
                    </w:r>
                    <w:r>
                      <w:fldChar w:fldCharType="separate"/>
                    </w:r>
                    <w:r w:rsidR="00685D95">
                      <w:rPr>
                        <w:noProof/>
                      </w:rPr>
                      <w:t>I</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225B" w:rsidRDefault="007143E2">
                          <w:pPr>
                            <w:pStyle w:val="af"/>
                          </w:pPr>
                          <w:r>
                            <w:fldChar w:fldCharType="begin"/>
                          </w:r>
                          <w:r>
                            <w:instrText xml:space="preserve"> PAGE  \* MERGEFORMAT </w:instrText>
                          </w:r>
                          <w:r>
                            <w:fldChar w:fldCharType="separate"/>
                          </w:r>
                          <w:r w:rsidR="00685D95">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0" type="#_x0000_t202" style="position:absolute;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6TDmaZQIAABEFAAAOAAAAAAAAAAAAAAAAAC4CAABkcnMvZTJvRG9j&#10;LnhtbFBLAQItABQABgAIAAAAIQBxqtG51wAAAAUBAAAPAAAAAAAAAAAAAAAAAL8EAABkcnMvZG93&#10;bnJldi54bWxQSwUGAAAAAAQABADzAAAAwwUAAAAA&#10;" filled="f" stroked="f" strokeweight=".5pt">
              <v:textbox style="mso-fit-shape-to-text:t" inset="0,0,0,0">
                <w:txbxContent>
                  <w:p w:rsidR="00FA225B" w:rsidRDefault="007143E2">
                    <w:pPr>
                      <w:pStyle w:val="af"/>
                    </w:pPr>
                    <w:r>
                      <w:fldChar w:fldCharType="begin"/>
                    </w:r>
                    <w:r>
                      <w:instrText xml:space="preserve"> PAGE  \* MERGEFORMAT </w:instrText>
                    </w:r>
                    <w:r>
                      <w:fldChar w:fldCharType="separate"/>
                    </w:r>
                    <w:r w:rsidR="00685D95">
                      <w:rPr>
                        <w:noProof/>
                      </w:rPr>
                      <w:t>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
      <w:tabs>
        <w:tab w:val="clear" w:pos="4153"/>
        <w:tab w:val="center" w:pos="4677"/>
      </w:tabs>
    </w:pPr>
    <w:r>
      <w:rPr>
        <w:noProof/>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225B" w:rsidRDefault="007143E2">
                          <w:pPr>
                            <w:pStyle w:val="af"/>
                          </w:pPr>
                          <w:r>
                            <w:fldChar w:fldCharType="begin"/>
                          </w:r>
                          <w:r>
                            <w:instrText xml:space="preserve"> PAGE  \* MERGEFORMAT </w:instrText>
                          </w:r>
                          <w:r>
                            <w:fldChar w:fldCharType="separate"/>
                          </w:r>
                          <w:r w:rsidR="00685D95">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1" type="#_x0000_t202" style="position:absolute;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r2QPxkAgAAEQUAAA4AAAAAAAAAAAAAAAAALgIAAGRycy9lMm9Eb2Mu&#10;eG1sUEsBAi0AFAAGAAgAAAAhAHGq0bnXAAAABQEAAA8AAAAAAAAAAAAAAAAAvgQAAGRycy9kb3du&#10;cmV2LnhtbFBLBQYAAAAABAAEAPMAAADCBQAAAAA=&#10;" filled="f" stroked="f" strokeweight=".5pt">
              <v:textbox style="mso-fit-shape-to-text:t" inset="0,0,0,0">
                <w:txbxContent>
                  <w:p w:rsidR="00FA225B" w:rsidRDefault="007143E2">
                    <w:pPr>
                      <w:pStyle w:val="af"/>
                    </w:pPr>
                    <w:r>
                      <w:fldChar w:fldCharType="begin"/>
                    </w:r>
                    <w:r>
                      <w:instrText xml:space="preserve"> PAGE  \* MERGEFORMAT </w:instrText>
                    </w:r>
                    <w:r>
                      <w:fldChar w:fldCharType="separate"/>
                    </w:r>
                    <w:r w:rsidR="00685D95">
                      <w:rPr>
                        <w:noProof/>
                      </w:rPr>
                      <w:t>3</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
      <w:tabs>
        <w:tab w:val="clear" w:pos="4153"/>
        <w:tab w:val="center" w:pos="4677"/>
      </w:tabs>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225B" w:rsidRDefault="007143E2">
                          <w:pPr>
                            <w:pStyle w:val="af"/>
                          </w:pPr>
                          <w:r>
                            <w:fldChar w:fldCharType="begin"/>
                          </w:r>
                          <w:r>
                            <w:instrText xml:space="preserve"> PAGE  \* MERGEFORMAT </w:instrText>
                          </w:r>
                          <w:r>
                            <w:fldChar w:fldCharType="separate"/>
                          </w:r>
                          <w:r w:rsidR="00685D95">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2" type="#_x0000_t202" style="position:absolute;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XIZQ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vjT+aOzlipotWhxo2JLo5XmLNlyImK5EwFqgdVj1&#10;dIlDGwLdtJM4W1P48rf7jMe0QstZhzWrucM7wJl56zDFeSNHIYzCahTcrT0l9OAQT4iXRYRBSGYU&#10;dSD7Cfu/zDGgEk4iUs3TKJ6mYdXxfki1XBYQ9s6LdOGuvcyuS8/98jZ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5R+XIZQIAABMFAAAOAAAAAAAAAAAAAAAAAC4CAABkcnMvZTJvRG9j&#10;LnhtbFBLAQItABQABgAIAAAAIQBxqtG51wAAAAUBAAAPAAAAAAAAAAAAAAAAAL8EAABkcnMvZG93&#10;bnJldi54bWxQSwUGAAAAAAQABADzAAAAwwUAAAAA&#10;" filled="f" stroked="f" strokeweight=".5pt">
              <v:textbox style="mso-fit-shape-to-text:t" inset="0,0,0,0">
                <w:txbxContent>
                  <w:p w:rsidR="00FA225B" w:rsidRDefault="007143E2">
                    <w:pPr>
                      <w:pStyle w:val="af"/>
                    </w:pPr>
                    <w:r>
                      <w:fldChar w:fldCharType="begin"/>
                    </w:r>
                    <w:r>
                      <w:instrText xml:space="preserve"> PAGE  \* MERGEFORMAT </w:instrText>
                    </w:r>
                    <w:r>
                      <w:fldChar w:fldCharType="separate"/>
                    </w:r>
                    <w:r w:rsidR="00685D95">
                      <w:rPr>
                        <w:noProof/>
                      </w:rPr>
                      <w:t>1</w:t>
                    </w:r>
                    <w:r>
                      <w:fldChar w:fldCharType="end"/>
                    </w:r>
                  </w:p>
                </w:txbxContent>
              </v:textbox>
              <w10:wrap anchorx="margin"/>
            </v:shape>
          </w:pict>
        </mc:Fallback>
      </mc:AlternateContent>
    </w: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3E2" w:rsidRDefault="007143E2">
      <w:r>
        <w:separator/>
      </w:r>
    </w:p>
  </w:footnote>
  <w:footnote w:type="continuationSeparator" w:id="0">
    <w:p w:rsidR="007143E2" w:rsidRDefault="00714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0"/>
      <w:pBdr>
        <w:bottom w:val="none" w:sz="0" w:space="0" w:color="auto"/>
      </w:pBdr>
      <w:spacing w:after="284"/>
      <w:ind w:right="210"/>
      <w:jc w:val="left"/>
      <w:rPr>
        <w:sz w:val="21"/>
        <w:szCs w:val="21"/>
      </w:rPr>
    </w:pPr>
    <w:r>
      <w:rPr>
        <w:rFonts w:hint="eastAsia"/>
        <w:b/>
        <w:bCs/>
        <w:sz w:val="21"/>
        <w:szCs w:val="21"/>
      </w:rPr>
      <w:t>DB32</w:t>
    </w:r>
    <w:r>
      <w:rPr>
        <w:b/>
        <w:bCs/>
        <w:sz w:val="21"/>
        <w:szCs w:val="21"/>
      </w:rPr>
      <w:t>/</w:t>
    </w:r>
    <w:r>
      <w:rPr>
        <w:rFonts w:hint="eastAsia"/>
        <w:b/>
        <w:bCs/>
        <w:sz w:val="21"/>
        <w:szCs w:val="21"/>
      </w:rPr>
      <w:t>T</w:t>
    </w:r>
    <w:r>
      <w:rPr>
        <w:sz w:val="21"/>
        <w:szCs w:val="21"/>
      </w:rPr>
      <w:t xml:space="preserve"> </w:t>
    </w:r>
    <w:r>
      <w:rPr>
        <w:rFonts w:hint="eastAsia"/>
        <w:sz w:val="21"/>
        <w:szCs w:val="21"/>
      </w:rPr>
      <w:t>X</w:t>
    </w:r>
    <w:r>
      <w:rPr>
        <w:sz w:val="21"/>
        <w:szCs w:val="21"/>
      </w:rPr>
      <w:t>-202</w:t>
    </w:r>
    <w:r>
      <w:rPr>
        <w:rFonts w:hint="eastAsia"/>
        <w:sz w:val="21"/>
        <w:szCs w:val="21"/>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FA225B">
    <w:pPr>
      <w:pStyle w:val="af0"/>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0"/>
      <w:pBdr>
        <w:bottom w:val="none" w:sz="0" w:space="0" w:color="auto"/>
      </w:pBdr>
      <w:spacing w:after="284"/>
      <w:jc w:val="right"/>
    </w:pPr>
    <w:r>
      <w:rPr>
        <w:rFonts w:hint="eastAsia"/>
        <w:b/>
        <w:bCs/>
        <w:sz w:val="21"/>
        <w:szCs w:val="21"/>
      </w:rPr>
      <w:t>DB32</w:t>
    </w:r>
    <w:r>
      <w:rPr>
        <w:b/>
        <w:bCs/>
        <w:sz w:val="21"/>
        <w:szCs w:val="21"/>
      </w:rPr>
      <w:t>/</w:t>
    </w:r>
    <w:r>
      <w:rPr>
        <w:rFonts w:hint="eastAsia"/>
        <w:b/>
        <w:bCs/>
        <w:sz w:val="21"/>
        <w:szCs w:val="21"/>
      </w:rPr>
      <w:t>T</w:t>
    </w:r>
    <w:r>
      <w:rPr>
        <w:sz w:val="21"/>
        <w:szCs w:val="21"/>
      </w:rPr>
      <w:t xml:space="preserve"> </w:t>
    </w:r>
    <w:r>
      <w:rPr>
        <w:rFonts w:hint="eastAsia"/>
        <w:sz w:val="21"/>
        <w:szCs w:val="21"/>
      </w:rPr>
      <w:t>X</w:t>
    </w:r>
    <w:r>
      <w:rPr>
        <w:sz w:val="21"/>
        <w:szCs w:val="21"/>
      </w:rPr>
      <w:t>-202</w:t>
    </w:r>
    <w:r>
      <w:rPr>
        <w:rFonts w:hint="eastAsia"/>
        <w:sz w:val="21"/>
        <w:szCs w:val="2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0"/>
      <w:pBdr>
        <w:bottom w:val="none" w:sz="0" w:space="0" w:color="auto"/>
      </w:pBdr>
      <w:spacing w:after="284"/>
      <w:jc w:val="right"/>
      <w:rPr>
        <w:sz w:val="21"/>
        <w:szCs w:val="21"/>
      </w:rPr>
    </w:pPr>
    <w:r>
      <w:rPr>
        <w:rFonts w:hint="eastAsia"/>
        <w:sz w:val="21"/>
        <w:szCs w:val="21"/>
      </w:rPr>
      <w:t>T</w:t>
    </w:r>
    <w:r>
      <w:rPr>
        <w:sz w:val="21"/>
        <w:szCs w:val="21"/>
      </w:rPr>
      <w:t xml:space="preserve">/JAASS </w:t>
    </w:r>
    <w:r>
      <w:rPr>
        <w:sz w:val="21"/>
        <w:szCs w:val="21"/>
      </w:rPr>
      <w:t>5</w:t>
    </w:r>
    <w:r>
      <w:rPr>
        <w:sz w:val="21"/>
        <w:szCs w:val="21"/>
      </w:rPr>
      <w:t>-202</w:t>
    </w:r>
    <w:r>
      <w:rPr>
        <w:rFonts w:hint="eastAsia"/>
        <w:sz w:val="21"/>
        <w:szCs w:val="21"/>
      </w:rPr>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7143E2">
    <w:pPr>
      <w:pStyle w:val="af0"/>
      <w:pBdr>
        <w:bottom w:val="none" w:sz="0" w:space="0" w:color="auto"/>
      </w:pBdr>
      <w:spacing w:after="284"/>
      <w:jc w:val="right"/>
    </w:pPr>
    <w:r>
      <w:rPr>
        <w:noProof/>
      </w:rPr>
      <mc:AlternateContent>
        <mc:Choice Requires="wps">
          <w:drawing>
            <wp:anchor distT="45720" distB="45720" distL="114300" distR="114300" simplePos="0" relativeHeight="251661312" behindDoc="0" locked="0" layoutInCell="1" allowOverlap="1">
              <wp:simplePos x="0" y="0"/>
              <wp:positionH relativeFrom="page">
                <wp:posOffset>7037705</wp:posOffset>
              </wp:positionH>
              <wp:positionV relativeFrom="page">
                <wp:posOffset>894715</wp:posOffset>
              </wp:positionV>
              <wp:extent cx="425450" cy="1633220"/>
              <wp:effectExtent l="0" t="0" r="12700" b="5080"/>
              <wp:wrapSquare wrapText="bothSides"/>
              <wp:docPr id="4" name="文本框 4"/>
              <wp:cNvGraphicFramePr/>
              <a:graphic xmlns:a="http://schemas.openxmlformats.org/drawingml/2006/main">
                <a:graphicData uri="http://schemas.microsoft.com/office/word/2010/wordprocessingShape">
                  <wps:wsp>
                    <wps:cNvSpPr txBox="1"/>
                    <wps:spPr>
                      <a:xfrm>
                        <a:off x="0" y="0"/>
                        <a:ext cx="425450" cy="1633220"/>
                      </a:xfrm>
                      <a:prstGeom prst="rect">
                        <a:avLst/>
                      </a:prstGeom>
                      <a:solidFill>
                        <a:srgbClr val="FFFFFF"/>
                      </a:solidFill>
                      <a:ln>
                        <a:noFill/>
                      </a:ln>
                    </wps:spPr>
                    <wps:txbx>
                      <w:txbxContent>
                        <w:p w:rsidR="00FA225B" w:rsidRDefault="007143E2">
                          <w:pPr>
                            <w:rPr>
                              <w:rFonts w:ascii="黑体" w:eastAsia="黑体" w:hAnsi="黑体" w:cs="黑体"/>
                              <w:sz w:val="28"/>
                              <w:szCs w:val="28"/>
                            </w:rPr>
                          </w:pPr>
                          <w:r>
                            <w:rPr>
                              <w:rFonts w:ascii="黑体" w:eastAsia="黑体" w:hAnsi="黑体" w:cs="黑体" w:hint="eastAsia"/>
                              <w:sz w:val="28"/>
                              <w:szCs w:val="28"/>
                            </w:rPr>
                            <w:t>DB32</w:t>
                          </w:r>
                          <w:r>
                            <w:rPr>
                              <w:rFonts w:ascii="黑体" w:eastAsia="黑体" w:hAnsi="黑体" w:cs="黑体" w:hint="eastAsia"/>
                              <w:sz w:val="28"/>
                              <w:szCs w:val="28"/>
                            </w:rPr>
                            <w:t>/</w:t>
                          </w:r>
                          <w:r>
                            <w:rPr>
                              <w:rFonts w:ascii="黑体" w:eastAsia="黑体" w:hAnsi="黑体" w:cs="黑体" w:hint="eastAsia"/>
                              <w:sz w:val="28"/>
                              <w:szCs w:val="28"/>
                            </w:rPr>
                            <w:t>T</w:t>
                          </w:r>
                          <w:r>
                            <w:rPr>
                              <w:rFonts w:ascii="黑体" w:eastAsia="黑体" w:hAnsi="黑体" w:cs="黑体" w:hint="eastAsia"/>
                              <w:sz w:val="28"/>
                              <w:szCs w:val="28"/>
                            </w:rPr>
                            <w:t xml:space="preserve"> </w:t>
                          </w:r>
                          <w:r>
                            <w:rPr>
                              <w:rFonts w:ascii="黑体" w:eastAsia="黑体" w:hAnsi="黑体" w:cs="黑体" w:hint="eastAsia"/>
                              <w:sz w:val="28"/>
                              <w:szCs w:val="28"/>
                            </w:rPr>
                            <w:t>×</w:t>
                          </w:r>
                          <w:r>
                            <w:rPr>
                              <w:rFonts w:ascii="黑体" w:eastAsia="黑体" w:hAnsi="黑体" w:cs="黑体" w:hint="eastAsia"/>
                              <w:sz w:val="28"/>
                              <w:szCs w:val="28"/>
                            </w:rPr>
                            <w:t>-202</w:t>
                          </w:r>
                          <w:r>
                            <w:rPr>
                              <w:rFonts w:ascii="黑体" w:eastAsia="黑体" w:hAnsi="黑体" w:cs="黑体" w:hint="eastAsia"/>
                              <w:sz w:val="28"/>
                              <w:szCs w:val="28"/>
                            </w:rPr>
                            <w:t>4</w:t>
                          </w:r>
                        </w:p>
                      </w:txbxContent>
                    </wps:txbx>
                    <wps:bodyPr vert="vert27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54.15pt;margin-top:70.45pt;height:128.6pt;width:33.5pt;mso-position-horizontal-relative:page;mso-position-vertical-relative:page;mso-wrap-distance-bottom:3.6pt;mso-wrap-distance-left:9pt;mso-wrap-distance-right:9pt;mso-wrap-distance-top:3.6pt;z-index:251661312;mso-width-relative:page;mso-height-relative:page;" fillcolor="#FFFFFF" filled="t" stroked="f" coordsize="21600,21600" o:gfxdata="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&#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Vh8Ts2gAAAA0BAAAPAAAAAAAAAAEAIAAAACIAAABk&#10;cnMvZG93bnJldi54bWxQSwECFAAUAAAACACHTuJACvsn/8sBAACGAwAADgAAAAAAAAABACAAAAAp&#10;AQAAZHJzL2Uyb0RvYy54bWxQSwUGAAAAAAYABgBZAQAAZgUAAAAA&#10;">
              <v:fill on="t" focussize="0,0"/>
              <v:stroke on="f"/>
              <v:imagedata o:title=""/>
              <o:lock v:ext="edit" aspectratio="f"/>
              <v:textbox style="layout-flow:vertical;mso-layout-flow-alt:bottom-to-top;">
                <w:txbxContent>
                  <w:p>
                    <w:pPr>
                      <w:rPr>
                        <w:rFonts w:hint="eastAsia" w:ascii="黑体" w:hAnsi="黑体" w:eastAsia="黑体" w:cs="黑体"/>
                        <w:sz w:val="28"/>
                        <w:szCs w:val="28"/>
                        <w:lang w:eastAsia="zh-CN"/>
                      </w:rPr>
                    </w:pPr>
                    <w:r>
                      <w:rPr>
                        <w:rFonts w:hint="eastAsia" w:ascii="黑体" w:hAnsi="黑体" w:eastAsia="黑体" w:cs="黑体"/>
                        <w:sz w:val="28"/>
                        <w:szCs w:val="28"/>
                        <w:lang w:val="en-US" w:eastAsia="zh-CN"/>
                      </w:rPr>
                      <w:t>DB32</w:t>
                    </w:r>
                    <w:r>
                      <w:rPr>
                        <w:rFonts w:hint="eastAsia" w:ascii="黑体" w:hAnsi="黑体" w:eastAsia="黑体" w:cs="黑体"/>
                        <w:sz w:val="28"/>
                        <w:szCs w:val="28"/>
                      </w:rPr>
                      <w:t>/</w:t>
                    </w:r>
                    <w:r>
                      <w:rPr>
                        <w:rFonts w:hint="eastAsia" w:ascii="黑体" w:hAnsi="黑体" w:eastAsia="黑体" w:cs="黑体"/>
                        <w:sz w:val="28"/>
                        <w:szCs w:val="28"/>
                        <w:lang w:val="en-US" w:eastAsia="zh-CN"/>
                      </w:rPr>
                      <w:t>T</w:t>
                    </w:r>
                    <w:r>
                      <w:rPr>
                        <w:rFonts w:hint="eastAsia" w:ascii="黑体" w:hAnsi="黑体" w:eastAsia="黑体" w:cs="黑体"/>
                        <w:sz w:val="28"/>
                        <w:szCs w:val="28"/>
                      </w:rPr>
                      <w:t xml:space="preserve"> ×-202</w:t>
                    </w:r>
                    <w:r>
                      <w:rPr>
                        <w:rFonts w:hint="eastAsia" w:ascii="黑体" w:hAnsi="黑体" w:eastAsia="黑体" w:cs="黑体"/>
                        <w:sz w:val="28"/>
                        <w:szCs w:val="28"/>
                        <w:lang w:val="en-US" w:eastAsia="zh-CN"/>
                      </w:rPr>
                      <w:t>4</w:t>
                    </w:r>
                  </w:p>
                </w:txbxContent>
              </v:textbox>
              <w10:wrap type="square"/>
            </v:shape>
          </w:pict>
        </mc:Fallback>
      </mc:AlternateContent>
    </w:r>
    <w:r>
      <w:rPr>
        <w:rFonts w:hint="eastAsia"/>
      </w:rPr>
      <w:tab/>
    </w:r>
    <w:r>
      <w:rPr>
        <w:rFonts w:hint="eastAsia"/>
      </w:rPr>
      <w:tab/>
    </w:r>
    <w:r>
      <w:rPr>
        <w:rFonts w:hint="eastAsia"/>
      </w:rP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25B" w:rsidRDefault="00FA225B">
    <w:pPr>
      <w:pStyle w:val="af0"/>
      <w:pBdr>
        <w:bottom w:val="none" w:sz="0" w:space="0" w:color="auto"/>
      </w:pBdr>
      <w:spacing w:after="28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646260FA"/>
    <w:multiLevelType w:val="multilevel"/>
    <w:tmpl w:val="646260FA"/>
    <w:lvl w:ilvl="0">
      <w:start w:val="1"/>
      <w:numFmt w:val="decimal"/>
      <w:pStyle w:val="a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6DBF04F4"/>
    <w:multiLevelType w:val="multilevel"/>
    <w:tmpl w:val="6DBF04F4"/>
    <w:lvl w:ilvl="0">
      <w:start w:val="1"/>
      <w:numFmt w:val="none"/>
      <w:pStyle w:val="a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
    <w:nsid w:val="78251D2C"/>
    <w:multiLevelType w:val="multilevel"/>
    <w:tmpl w:val="78251D2C"/>
    <w:lvl w:ilvl="0">
      <w:start w:val="1"/>
      <w:numFmt w:val="decimal"/>
      <w:pStyle w:val="a5"/>
      <w:suff w:val="nothing"/>
      <w:lvlText w:val="%1　"/>
      <w:lvlJc w:val="left"/>
      <w:pPr>
        <w:ind w:left="0" w:firstLine="0"/>
      </w:pPr>
      <w:rPr>
        <w:rFonts w:ascii="黑体" w:eastAsia="黑体" w:hAnsi="黑体" w:cs="黑体" w:hint="default"/>
        <w:b w:val="0"/>
        <w:i w:val="0"/>
        <w:sz w:val="21"/>
        <w:szCs w:val="21"/>
      </w:rPr>
    </w:lvl>
    <w:lvl w:ilvl="1">
      <w:start w:val="1"/>
      <w:numFmt w:val="decimal"/>
      <w:pStyle w:val="a6"/>
      <w:suff w:val="nothing"/>
      <w:lvlText w:val="%1.%2　"/>
      <w:lvlJc w:val="left"/>
      <w:pPr>
        <w:ind w:left="0" w:firstLine="0"/>
      </w:pPr>
      <w:rPr>
        <w:rFonts w:ascii="黑体" w:eastAsia="黑体" w:hAnsi="黑体" w:cs="黑体" w:hint="default"/>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tabs>
          <w:tab w:val="left" w:pos="0"/>
        </w:tabs>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cs="Times New Roman" w:hint="default"/>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zYjY3NWJhODJmYmUzYjhjNmIzY2Q5NjkxN2M0Y2MifQ=="/>
  </w:docVars>
  <w:rsids>
    <w:rsidRoot w:val="477D3B70"/>
    <w:rsid w:val="00001038"/>
    <w:rsid w:val="00014AF6"/>
    <w:rsid w:val="0002450B"/>
    <w:rsid w:val="000311D3"/>
    <w:rsid w:val="00066ACB"/>
    <w:rsid w:val="000D5954"/>
    <w:rsid w:val="00151838"/>
    <w:rsid w:val="00174B23"/>
    <w:rsid w:val="001A7D8B"/>
    <w:rsid w:val="001B0A57"/>
    <w:rsid w:val="001C2DB0"/>
    <w:rsid w:val="001F5D29"/>
    <w:rsid w:val="001F7712"/>
    <w:rsid w:val="00216276"/>
    <w:rsid w:val="0024437C"/>
    <w:rsid w:val="002B13AE"/>
    <w:rsid w:val="00371811"/>
    <w:rsid w:val="00412D82"/>
    <w:rsid w:val="004C0A42"/>
    <w:rsid w:val="004C1AD4"/>
    <w:rsid w:val="00524A81"/>
    <w:rsid w:val="00525086"/>
    <w:rsid w:val="00561B54"/>
    <w:rsid w:val="0058484C"/>
    <w:rsid w:val="005D5E4A"/>
    <w:rsid w:val="006016B1"/>
    <w:rsid w:val="0065747B"/>
    <w:rsid w:val="006835D5"/>
    <w:rsid w:val="00685D95"/>
    <w:rsid w:val="006B01A2"/>
    <w:rsid w:val="00700F87"/>
    <w:rsid w:val="00701C7D"/>
    <w:rsid w:val="007034C0"/>
    <w:rsid w:val="007039D2"/>
    <w:rsid w:val="007143E2"/>
    <w:rsid w:val="00723FED"/>
    <w:rsid w:val="007449BE"/>
    <w:rsid w:val="0077083B"/>
    <w:rsid w:val="007A57D8"/>
    <w:rsid w:val="007C5C74"/>
    <w:rsid w:val="007E280D"/>
    <w:rsid w:val="00824591"/>
    <w:rsid w:val="00831DBE"/>
    <w:rsid w:val="00837A39"/>
    <w:rsid w:val="00840430"/>
    <w:rsid w:val="008B3451"/>
    <w:rsid w:val="008D6286"/>
    <w:rsid w:val="008E144F"/>
    <w:rsid w:val="009210C8"/>
    <w:rsid w:val="00935162"/>
    <w:rsid w:val="009726D9"/>
    <w:rsid w:val="009A0258"/>
    <w:rsid w:val="009E6B5C"/>
    <w:rsid w:val="00A076B1"/>
    <w:rsid w:val="00A12917"/>
    <w:rsid w:val="00A62DF0"/>
    <w:rsid w:val="00A95DFE"/>
    <w:rsid w:val="00B34290"/>
    <w:rsid w:val="00B43658"/>
    <w:rsid w:val="00BE64D9"/>
    <w:rsid w:val="00BF5876"/>
    <w:rsid w:val="00C069ED"/>
    <w:rsid w:val="00C1264F"/>
    <w:rsid w:val="00C32CB6"/>
    <w:rsid w:val="00C32EA6"/>
    <w:rsid w:val="00C42460"/>
    <w:rsid w:val="00C45CB4"/>
    <w:rsid w:val="00C622C6"/>
    <w:rsid w:val="00CC0A7F"/>
    <w:rsid w:val="00D0262E"/>
    <w:rsid w:val="00D51096"/>
    <w:rsid w:val="00DA21EB"/>
    <w:rsid w:val="00DB6D58"/>
    <w:rsid w:val="00DD4ECA"/>
    <w:rsid w:val="00E00049"/>
    <w:rsid w:val="00E556E0"/>
    <w:rsid w:val="00EE64DB"/>
    <w:rsid w:val="00F27336"/>
    <w:rsid w:val="00F66AF8"/>
    <w:rsid w:val="00F80B5E"/>
    <w:rsid w:val="00FA225B"/>
    <w:rsid w:val="00FC13C0"/>
    <w:rsid w:val="00FD4C1A"/>
    <w:rsid w:val="00FE4B94"/>
    <w:rsid w:val="00FE4C68"/>
    <w:rsid w:val="0186410C"/>
    <w:rsid w:val="02770471"/>
    <w:rsid w:val="028F17BB"/>
    <w:rsid w:val="03336490"/>
    <w:rsid w:val="0358250B"/>
    <w:rsid w:val="03BA2ABC"/>
    <w:rsid w:val="049A4BDA"/>
    <w:rsid w:val="072B7F76"/>
    <w:rsid w:val="07A16E7F"/>
    <w:rsid w:val="07EF7EB0"/>
    <w:rsid w:val="099E6880"/>
    <w:rsid w:val="0A011809"/>
    <w:rsid w:val="0B155753"/>
    <w:rsid w:val="0C973270"/>
    <w:rsid w:val="0CF87D87"/>
    <w:rsid w:val="0DF90060"/>
    <w:rsid w:val="0E4F7C80"/>
    <w:rsid w:val="0E8B55CD"/>
    <w:rsid w:val="0EA632D8"/>
    <w:rsid w:val="0F427DE5"/>
    <w:rsid w:val="0F6D4B07"/>
    <w:rsid w:val="102D641F"/>
    <w:rsid w:val="107A7BAE"/>
    <w:rsid w:val="10B464C1"/>
    <w:rsid w:val="121A7009"/>
    <w:rsid w:val="151163B4"/>
    <w:rsid w:val="16081758"/>
    <w:rsid w:val="16802A2F"/>
    <w:rsid w:val="17190E2C"/>
    <w:rsid w:val="1AD35795"/>
    <w:rsid w:val="1D1E79D3"/>
    <w:rsid w:val="1D24677C"/>
    <w:rsid w:val="1E20220F"/>
    <w:rsid w:val="1F7C464D"/>
    <w:rsid w:val="1FCB1FBC"/>
    <w:rsid w:val="208E288A"/>
    <w:rsid w:val="20C22534"/>
    <w:rsid w:val="20C447D9"/>
    <w:rsid w:val="222858B2"/>
    <w:rsid w:val="227D431E"/>
    <w:rsid w:val="23E7656A"/>
    <w:rsid w:val="26616526"/>
    <w:rsid w:val="26946BA1"/>
    <w:rsid w:val="26B45FF0"/>
    <w:rsid w:val="26B8793F"/>
    <w:rsid w:val="27271343"/>
    <w:rsid w:val="28274FBA"/>
    <w:rsid w:val="288D5617"/>
    <w:rsid w:val="2A9F4371"/>
    <w:rsid w:val="2AB777F4"/>
    <w:rsid w:val="2ABB1449"/>
    <w:rsid w:val="2ADB63E8"/>
    <w:rsid w:val="2BA3529F"/>
    <w:rsid w:val="2C4C04A0"/>
    <w:rsid w:val="2C710C40"/>
    <w:rsid w:val="2D9473AD"/>
    <w:rsid w:val="308E3CD3"/>
    <w:rsid w:val="30A04ED9"/>
    <w:rsid w:val="30E01B12"/>
    <w:rsid w:val="321150C9"/>
    <w:rsid w:val="324136F0"/>
    <w:rsid w:val="336C7079"/>
    <w:rsid w:val="367125DA"/>
    <w:rsid w:val="36853887"/>
    <w:rsid w:val="37691503"/>
    <w:rsid w:val="38261AAD"/>
    <w:rsid w:val="38D372A8"/>
    <w:rsid w:val="38EF2F15"/>
    <w:rsid w:val="39400042"/>
    <w:rsid w:val="3A3A2CE3"/>
    <w:rsid w:val="3AC90DD5"/>
    <w:rsid w:val="3ADC5B2E"/>
    <w:rsid w:val="3C114054"/>
    <w:rsid w:val="3C236125"/>
    <w:rsid w:val="3C5D4CEA"/>
    <w:rsid w:val="3C755D23"/>
    <w:rsid w:val="3CD967E3"/>
    <w:rsid w:val="3D0E0B83"/>
    <w:rsid w:val="3D734E8A"/>
    <w:rsid w:val="3DBB6150"/>
    <w:rsid w:val="3E375CEE"/>
    <w:rsid w:val="3E483F04"/>
    <w:rsid w:val="3EB70DA6"/>
    <w:rsid w:val="3F07401C"/>
    <w:rsid w:val="3F9D61EE"/>
    <w:rsid w:val="3FCB76CE"/>
    <w:rsid w:val="40013DF8"/>
    <w:rsid w:val="40620D48"/>
    <w:rsid w:val="40F7686D"/>
    <w:rsid w:val="411F15A3"/>
    <w:rsid w:val="426B25D4"/>
    <w:rsid w:val="428B4A24"/>
    <w:rsid w:val="430E2A0B"/>
    <w:rsid w:val="43801EDB"/>
    <w:rsid w:val="43CF4997"/>
    <w:rsid w:val="44FC61DA"/>
    <w:rsid w:val="46393CE1"/>
    <w:rsid w:val="46AC6D17"/>
    <w:rsid w:val="46C500F1"/>
    <w:rsid w:val="471F4BDF"/>
    <w:rsid w:val="47707A1D"/>
    <w:rsid w:val="477D3B70"/>
    <w:rsid w:val="479B1A75"/>
    <w:rsid w:val="48853FF7"/>
    <w:rsid w:val="49267CCB"/>
    <w:rsid w:val="494B3666"/>
    <w:rsid w:val="4966026D"/>
    <w:rsid w:val="4D1675E0"/>
    <w:rsid w:val="4E613531"/>
    <w:rsid w:val="4E775E5C"/>
    <w:rsid w:val="4E8F7420"/>
    <w:rsid w:val="4E9B673E"/>
    <w:rsid w:val="4EAC5A45"/>
    <w:rsid w:val="4F230624"/>
    <w:rsid w:val="4F844CD5"/>
    <w:rsid w:val="4FFC737A"/>
    <w:rsid w:val="514C4DE2"/>
    <w:rsid w:val="518E6E68"/>
    <w:rsid w:val="52A93222"/>
    <w:rsid w:val="5423238F"/>
    <w:rsid w:val="55055CA8"/>
    <w:rsid w:val="55E53FF3"/>
    <w:rsid w:val="57CA1E7B"/>
    <w:rsid w:val="58D05CDE"/>
    <w:rsid w:val="5A177286"/>
    <w:rsid w:val="5B15759C"/>
    <w:rsid w:val="5BA639FA"/>
    <w:rsid w:val="5C0A7177"/>
    <w:rsid w:val="5C9F0368"/>
    <w:rsid w:val="5CF27905"/>
    <w:rsid w:val="5F561C7A"/>
    <w:rsid w:val="607D136D"/>
    <w:rsid w:val="62650BF8"/>
    <w:rsid w:val="628C0DDA"/>
    <w:rsid w:val="63015D15"/>
    <w:rsid w:val="65E06ED7"/>
    <w:rsid w:val="67963198"/>
    <w:rsid w:val="67B15CC2"/>
    <w:rsid w:val="687A4A6F"/>
    <w:rsid w:val="687F5590"/>
    <w:rsid w:val="68AB36AC"/>
    <w:rsid w:val="68F624D7"/>
    <w:rsid w:val="692D3739"/>
    <w:rsid w:val="694C5E4D"/>
    <w:rsid w:val="6A5878CB"/>
    <w:rsid w:val="6ACF1074"/>
    <w:rsid w:val="6B03534D"/>
    <w:rsid w:val="6B1E3B98"/>
    <w:rsid w:val="6DE16160"/>
    <w:rsid w:val="6EA3259D"/>
    <w:rsid w:val="6F3040D9"/>
    <w:rsid w:val="6F67111E"/>
    <w:rsid w:val="705A55F0"/>
    <w:rsid w:val="718F6A79"/>
    <w:rsid w:val="72F571CC"/>
    <w:rsid w:val="760720FB"/>
    <w:rsid w:val="76353D5C"/>
    <w:rsid w:val="7693567A"/>
    <w:rsid w:val="777A417B"/>
    <w:rsid w:val="78557995"/>
    <w:rsid w:val="78655672"/>
    <w:rsid w:val="788628C1"/>
    <w:rsid w:val="7CF90FA6"/>
    <w:rsid w:val="7DA01451"/>
    <w:rsid w:val="7DF80753"/>
    <w:rsid w:val="7ECB797B"/>
    <w:rsid w:val="7ED14577"/>
    <w:rsid w:val="7F710522"/>
    <w:rsid w:val="7FB96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qFormat="1"/>
    <w:lsdException w:name="toc 3" w:uiPriority="39" w:qFormat="1"/>
    <w:lsdException w:name="annotation text" w:qFormat="1"/>
    <w:lsdException w:name="header" w:uiPriority="99" w:unhideWhenUsed="1"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jc w:val="both"/>
    </w:pPr>
    <w:rPr>
      <w:kern w:val="2"/>
      <w:sz w:val="21"/>
      <w:szCs w:val="24"/>
    </w:rPr>
  </w:style>
  <w:style w:type="paragraph" w:styleId="1">
    <w:name w:val="heading 1"/>
    <w:basedOn w:val="a7"/>
    <w:next w:val="a7"/>
    <w:autoRedefine/>
    <w:uiPriority w:val="9"/>
    <w:qFormat/>
    <w:pPr>
      <w:keepNext/>
      <w:keepLines/>
      <w:spacing w:before="340" w:after="330" w:line="578" w:lineRule="auto"/>
      <w:outlineLvl w:val="0"/>
    </w:pPr>
    <w:rPr>
      <w:b/>
      <w:bCs/>
      <w:kern w:val="44"/>
      <w:sz w:val="44"/>
      <w:szCs w:val="44"/>
    </w:rPr>
  </w:style>
  <w:style w:type="paragraph" w:styleId="3">
    <w:name w:val="heading 3"/>
    <w:basedOn w:val="a7"/>
    <w:next w:val="a7"/>
    <w:semiHidden/>
    <w:unhideWhenUsed/>
    <w:qFormat/>
    <w:pPr>
      <w:spacing w:beforeAutospacing="1" w:afterAutospacing="1"/>
      <w:jc w:val="left"/>
      <w:outlineLvl w:val="2"/>
    </w:pPr>
    <w:rPr>
      <w:rFonts w:ascii="宋体" w:hAnsi="宋体" w:hint="eastAsia"/>
      <w:b/>
      <w:bCs/>
      <w:kern w:val="0"/>
      <w:sz w:val="27"/>
      <w:szCs w:val="27"/>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autoRedefine/>
    <w:qFormat/>
    <w:pPr>
      <w:jc w:val="left"/>
    </w:pPr>
  </w:style>
  <w:style w:type="paragraph" w:styleId="ac">
    <w:name w:val="Body Text"/>
    <w:basedOn w:val="a7"/>
    <w:autoRedefine/>
    <w:uiPriority w:val="1"/>
    <w:qFormat/>
    <w:pPr>
      <w:autoSpaceDE w:val="0"/>
      <w:autoSpaceDN w:val="0"/>
      <w:jc w:val="left"/>
    </w:pPr>
    <w:rPr>
      <w:rFonts w:ascii="宋体" w:hAnsi="宋体"/>
      <w:kern w:val="0"/>
      <w:szCs w:val="21"/>
      <w:lang w:val="sq" w:eastAsia="sq"/>
    </w:rPr>
  </w:style>
  <w:style w:type="paragraph" w:styleId="30">
    <w:name w:val="toc 3"/>
    <w:basedOn w:val="a7"/>
    <w:next w:val="a7"/>
    <w:autoRedefine/>
    <w:uiPriority w:val="39"/>
    <w:qFormat/>
    <w:pPr>
      <w:ind w:leftChars="400" w:left="840"/>
    </w:pPr>
  </w:style>
  <w:style w:type="paragraph" w:styleId="ad">
    <w:name w:val="Date"/>
    <w:basedOn w:val="a7"/>
    <w:next w:val="a7"/>
    <w:link w:val="Char"/>
    <w:autoRedefine/>
    <w:qFormat/>
    <w:pPr>
      <w:ind w:leftChars="2500" w:left="100"/>
    </w:pPr>
  </w:style>
  <w:style w:type="paragraph" w:styleId="ae">
    <w:name w:val="Balloon Text"/>
    <w:basedOn w:val="a7"/>
    <w:link w:val="Char0"/>
    <w:qFormat/>
    <w:rPr>
      <w:sz w:val="18"/>
      <w:szCs w:val="18"/>
    </w:rPr>
  </w:style>
  <w:style w:type="paragraph" w:styleId="af">
    <w:name w:val="footer"/>
    <w:basedOn w:val="a7"/>
    <w:autoRedefine/>
    <w:uiPriority w:val="99"/>
    <w:unhideWhenUsed/>
    <w:qFormat/>
    <w:pPr>
      <w:tabs>
        <w:tab w:val="center" w:pos="4153"/>
        <w:tab w:val="right" w:pos="8306"/>
      </w:tabs>
      <w:snapToGrid w:val="0"/>
      <w:jc w:val="left"/>
    </w:pPr>
    <w:rPr>
      <w:sz w:val="18"/>
      <w:szCs w:val="18"/>
    </w:rPr>
  </w:style>
  <w:style w:type="paragraph" w:styleId="af0">
    <w:name w:val="header"/>
    <w:basedOn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unhideWhenUsed/>
    <w:qFormat/>
    <w:pPr>
      <w:tabs>
        <w:tab w:val="right" w:leader="dot" w:pos="9344"/>
      </w:tabs>
      <w:spacing w:line="360" w:lineRule="auto"/>
    </w:pPr>
  </w:style>
  <w:style w:type="paragraph" w:styleId="2">
    <w:name w:val="toc 2"/>
    <w:basedOn w:val="a7"/>
    <w:next w:val="a7"/>
    <w:autoRedefine/>
    <w:uiPriority w:val="39"/>
    <w:qFormat/>
    <w:pPr>
      <w:ind w:leftChars="200" w:left="420"/>
    </w:pPr>
  </w:style>
  <w:style w:type="paragraph" w:styleId="af1">
    <w:name w:val="Normal (Web)"/>
    <w:basedOn w:val="a7"/>
    <w:autoRedefine/>
    <w:uiPriority w:val="99"/>
    <w:unhideWhenUsed/>
    <w:qFormat/>
    <w:pPr>
      <w:widowControl/>
      <w:spacing w:before="100" w:beforeAutospacing="1" w:after="100" w:afterAutospacing="1"/>
      <w:jc w:val="left"/>
    </w:pPr>
    <w:rPr>
      <w:rFonts w:ascii="宋体" w:hAnsi="宋体" w:cs="宋体"/>
      <w:kern w:val="0"/>
      <w:sz w:val="24"/>
    </w:rPr>
  </w:style>
  <w:style w:type="table" w:styleId="af2">
    <w:name w:val="Table Grid"/>
    <w:basedOn w:val="a9"/>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8"/>
    <w:uiPriority w:val="99"/>
    <w:unhideWhenUsed/>
    <w:qFormat/>
    <w:rPr>
      <w:color w:val="0563C1" w:themeColor="hyperlink"/>
      <w:u w:val="single"/>
    </w:rPr>
  </w:style>
  <w:style w:type="character" w:styleId="af4">
    <w:name w:val="annotation reference"/>
    <w:basedOn w:val="a8"/>
    <w:autoRedefine/>
    <w:qFormat/>
    <w:rPr>
      <w:sz w:val="21"/>
      <w:szCs w:val="21"/>
    </w:rPr>
  </w:style>
  <w:style w:type="paragraph" w:customStyle="1" w:styleId="Style2">
    <w:name w:val="_Style 2"/>
    <w:basedOn w:val="1"/>
    <w:next w:val="a7"/>
    <w:autoRedefine/>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af5">
    <w:name w:val="前言、引言标题"/>
    <w:next w:val="af6"/>
    <w:autoRedefine/>
    <w:qFormat/>
    <w:pPr>
      <w:keepNext/>
      <w:pageBreakBefore/>
      <w:shd w:val="clear" w:color="FFFFFF" w:fill="FFFFFF"/>
      <w:spacing w:before="640" w:after="560"/>
      <w:jc w:val="center"/>
      <w:outlineLvl w:val="0"/>
    </w:pPr>
    <w:rPr>
      <w:rFonts w:ascii="黑体" w:eastAsia="黑体"/>
      <w:sz w:val="32"/>
    </w:rPr>
  </w:style>
  <w:style w:type="paragraph" w:customStyle="1" w:styleId="af6">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f7">
    <w:name w:val="目次、标准名称标题"/>
    <w:basedOn w:val="a7"/>
    <w:next w:val="af6"/>
    <w:autoRedefin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章标题"/>
    <w:next w:val="af6"/>
    <w:autoRedefine/>
    <w:qFormat/>
    <w:pPr>
      <w:numPr>
        <w:numId w:val="1"/>
      </w:numPr>
      <w:spacing w:beforeLines="100" w:before="312" w:afterLines="100" w:after="312"/>
      <w:jc w:val="both"/>
      <w:outlineLvl w:val="1"/>
    </w:pPr>
    <w:rPr>
      <w:rFonts w:ascii="黑体" w:eastAsia="黑体"/>
      <w:sz w:val="21"/>
    </w:rPr>
  </w:style>
  <w:style w:type="paragraph" w:customStyle="1" w:styleId="a6">
    <w:name w:val="一级条标题"/>
    <w:next w:val="af6"/>
    <w:autoRedefine/>
    <w:qFormat/>
    <w:pPr>
      <w:numPr>
        <w:ilvl w:val="1"/>
        <w:numId w:val="1"/>
      </w:numPr>
      <w:spacing w:beforeLines="50" w:before="156" w:afterLines="50" w:after="156"/>
      <w:outlineLvl w:val="2"/>
    </w:pPr>
    <w:rPr>
      <w:rFonts w:ascii="黑体" w:eastAsia="黑体"/>
      <w:sz w:val="21"/>
      <w:szCs w:val="21"/>
    </w:rPr>
  </w:style>
  <w:style w:type="paragraph" w:styleId="af8">
    <w:name w:val="List Paragraph"/>
    <w:basedOn w:val="a7"/>
    <w:autoRedefine/>
    <w:uiPriority w:val="34"/>
    <w:qFormat/>
    <w:pPr>
      <w:ind w:firstLineChars="200" w:firstLine="420"/>
    </w:pPr>
  </w:style>
  <w:style w:type="paragraph" w:customStyle="1" w:styleId="Bodytext1">
    <w:name w:val="Body text|1"/>
    <w:basedOn w:val="a7"/>
    <w:autoRedefine/>
    <w:qFormat/>
    <w:pPr>
      <w:jc w:val="left"/>
    </w:pPr>
    <w:rPr>
      <w:rFonts w:ascii="宋体" w:hAnsi="宋体" w:cs="宋体"/>
      <w:kern w:val="0"/>
      <w:sz w:val="20"/>
      <w:szCs w:val="20"/>
      <w:lang w:val="zh-TW" w:eastAsia="zh-TW" w:bidi="zh-TW"/>
    </w:rPr>
  </w:style>
  <w:style w:type="paragraph" w:customStyle="1" w:styleId="Other1">
    <w:name w:val="Other|1"/>
    <w:basedOn w:val="a7"/>
    <w:autoRedefine/>
    <w:qFormat/>
    <w:pPr>
      <w:jc w:val="left"/>
    </w:pPr>
    <w:rPr>
      <w:rFonts w:ascii="宋体" w:hAnsi="宋体" w:cs="宋体"/>
      <w:kern w:val="0"/>
      <w:sz w:val="20"/>
      <w:szCs w:val="20"/>
      <w:lang w:val="zh-TW" w:eastAsia="zh-TW" w:bidi="zh-TW"/>
    </w:rPr>
  </w:style>
  <w:style w:type="paragraph" w:customStyle="1" w:styleId="TableParagraph">
    <w:name w:val="Table Paragraph"/>
    <w:basedOn w:val="a7"/>
    <w:autoRedefine/>
    <w:uiPriority w:val="1"/>
    <w:qFormat/>
    <w:pPr>
      <w:autoSpaceDE w:val="0"/>
      <w:autoSpaceDN w:val="0"/>
      <w:spacing w:before="38"/>
      <w:ind w:left="107"/>
      <w:jc w:val="center"/>
    </w:pPr>
    <w:rPr>
      <w:rFonts w:ascii="宋体" w:hAnsi="宋体"/>
      <w:kern w:val="0"/>
      <w:sz w:val="22"/>
      <w:szCs w:val="22"/>
      <w:lang w:val="sq" w:eastAsia="sq"/>
    </w:rPr>
  </w:style>
  <w:style w:type="table" w:customStyle="1" w:styleId="TableNormal">
    <w:name w:val="Table Normal"/>
    <w:autoRedefine/>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af9">
    <w:name w:val="二级条标题"/>
    <w:basedOn w:val="a6"/>
    <w:next w:val="af6"/>
    <w:autoRedefine/>
    <w:qFormat/>
    <w:pPr>
      <w:spacing w:before="50" w:after="50"/>
      <w:outlineLvl w:val="3"/>
    </w:pPr>
    <w:rPr>
      <w:rFonts w:cs="Calibri"/>
    </w:rPr>
  </w:style>
  <w:style w:type="paragraph" w:customStyle="1" w:styleId="WPSOffice1">
    <w:name w:val="WPSOffice手动目录 1"/>
    <w:qFormat/>
  </w:style>
  <w:style w:type="character" w:customStyle="1" w:styleId="Char0">
    <w:name w:val="批注框文本 Char"/>
    <w:basedOn w:val="a8"/>
    <w:link w:val="ae"/>
    <w:autoRedefine/>
    <w:qFormat/>
    <w:rPr>
      <w:kern w:val="2"/>
      <w:sz w:val="18"/>
      <w:szCs w:val="18"/>
    </w:rPr>
  </w:style>
  <w:style w:type="character" w:customStyle="1" w:styleId="Char">
    <w:name w:val="日期 Char"/>
    <w:basedOn w:val="a8"/>
    <w:link w:val="ad"/>
    <w:autoRedefine/>
    <w:qFormat/>
    <w:rPr>
      <w:kern w:val="2"/>
      <w:sz w:val="21"/>
      <w:szCs w:val="24"/>
    </w:rPr>
  </w:style>
  <w:style w:type="paragraph" w:customStyle="1" w:styleId="WPSOffice2">
    <w:name w:val="WPSOffice手动目录 2"/>
    <w:autoRedefine/>
    <w:qFormat/>
    <w:pPr>
      <w:ind w:leftChars="200" w:left="200"/>
    </w:pPr>
  </w:style>
  <w:style w:type="paragraph" w:customStyle="1" w:styleId="11">
    <w:name w:val="修订1"/>
    <w:autoRedefine/>
    <w:hidden/>
    <w:uiPriority w:val="99"/>
    <w:semiHidden/>
    <w:qFormat/>
    <w:rPr>
      <w:kern w:val="2"/>
      <w:sz w:val="21"/>
      <w:szCs w:val="24"/>
    </w:rPr>
  </w:style>
  <w:style w:type="paragraph" w:customStyle="1" w:styleId="a2">
    <w:name w:val="标准文件_章标题"/>
    <w:next w:val="afa"/>
    <w:autoRedefine/>
    <w:qFormat/>
    <w:pPr>
      <w:numPr>
        <w:ilvl w:val="1"/>
        <w:numId w:val="2"/>
      </w:numPr>
      <w:spacing w:beforeLines="100" w:before="100" w:afterLines="100" w:after="100"/>
      <w:jc w:val="both"/>
      <w:outlineLvl w:val="0"/>
    </w:pPr>
    <w:rPr>
      <w:rFonts w:ascii="黑体" w:eastAsia="黑体"/>
      <w:sz w:val="21"/>
    </w:rPr>
  </w:style>
  <w:style w:type="paragraph" w:customStyle="1" w:styleId="afa">
    <w:name w:val="标准文件_段"/>
    <w:autoRedefine/>
    <w:qFormat/>
    <w:pPr>
      <w:autoSpaceDE w:val="0"/>
      <w:autoSpaceDN w:val="0"/>
      <w:ind w:firstLineChars="200" w:firstLine="200"/>
      <w:jc w:val="both"/>
    </w:pPr>
    <w:rPr>
      <w:rFonts w:ascii="宋体"/>
      <w:sz w:val="21"/>
    </w:rPr>
  </w:style>
  <w:style w:type="paragraph" w:customStyle="1" w:styleId="a3">
    <w:name w:val="标准文件_一级条标题"/>
    <w:basedOn w:val="a2"/>
    <w:next w:val="afa"/>
    <w:autoRedefine/>
    <w:qFormat/>
    <w:pPr>
      <w:numPr>
        <w:ilvl w:val="2"/>
      </w:numPr>
      <w:spacing w:beforeLines="50" w:before="50" w:afterLines="50" w:after="50"/>
      <w:ind w:left="0"/>
      <w:outlineLvl w:val="1"/>
    </w:pPr>
  </w:style>
  <w:style w:type="paragraph" w:customStyle="1" w:styleId="a1">
    <w:name w:val="标准文件_正文表标题"/>
    <w:next w:val="afa"/>
    <w:autoRedefine/>
    <w:qFormat/>
    <w:pPr>
      <w:numPr>
        <w:numId w:val="3"/>
      </w:numPr>
      <w:tabs>
        <w:tab w:val="left" w:pos="0"/>
      </w:tabs>
      <w:spacing w:beforeLines="50" w:before="50" w:afterLines="50" w:after="50"/>
      <w:jc w:val="center"/>
    </w:pPr>
    <w:rPr>
      <w:rFonts w:ascii="黑体" w:eastAsia="黑体"/>
      <w:sz w:val="21"/>
    </w:rPr>
  </w:style>
  <w:style w:type="paragraph" w:customStyle="1" w:styleId="afb">
    <w:name w:val="标准文件_表格"/>
    <w:basedOn w:val="afa"/>
    <w:autoRedefine/>
    <w:qFormat/>
    <w:pPr>
      <w:ind w:firstLineChars="0" w:firstLine="0"/>
      <w:jc w:val="center"/>
    </w:pPr>
    <w:rPr>
      <w:sz w:val="18"/>
    </w:rPr>
  </w:style>
  <w:style w:type="paragraph" w:customStyle="1" w:styleId="a4">
    <w:name w:val="标准文件_注："/>
    <w:next w:val="afa"/>
    <w:autoRedefine/>
    <w:qFormat/>
    <w:pPr>
      <w:widowControl w:val="0"/>
      <w:numPr>
        <w:numId w:val="4"/>
      </w:numPr>
      <w:autoSpaceDE w:val="0"/>
      <w:autoSpaceDN w:val="0"/>
      <w:jc w:val="both"/>
    </w:pPr>
    <w:rPr>
      <w:rFonts w:ascii="宋体"/>
      <w:sz w:val="18"/>
      <w:szCs w:val="18"/>
    </w:rPr>
  </w:style>
  <w:style w:type="paragraph" w:customStyle="1" w:styleId="a">
    <w:name w:val="标准文件_字母编号列项（一级）"/>
    <w:autoRedefine/>
    <w:qFormat/>
    <w:pPr>
      <w:numPr>
        <w:numId w:val="5"/>
      </w:numPr>
      <w:jc w:val="both"/>
    </w:pPr>
    <w:rPr>
      <w:rFonts w:ascii="宋体"/>
      <w:sz w:val="21"/>
    </w:rPr>
  </w:style>
  <w:style w:type="paragraph" w:customStyle="1" w:styleId="a0">
    <w:name w:val="标准文件_数字编号列项（二级）"/>
    <w:autoRedefine/>
    <w:qFormat/>
    <w:pPr>
      <w:numPr>
        <w:ilvl w:val="1"/>
        <w:numId w:val="5"/>
      </w:numPr>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qFormat="1"/>
    <w:lsdException w:name="toc 3" w:uiPriority="39" w:qFormat="1"/>
    <w:lsdException w:name="annotation text" w:qFormat="1"/>
    <w:lsdException w:name="header" w:uiPriority="99" w:unhideWhenUsed="1"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jc w:val="both"/>
    </w:pPr>
    <w:rPr>
      <w:kern w:val="2"/>
      <w:sz w:val="21"/>
      <w:szCs w:val="24"/>
    </w:rPr>
  </w:style>
  <w:style w:type="paragraph" w:styleId="1">
    <w:name w:val="heading 1"/>
    <w:basedOn w:val="a7"/>
    <w:next w:val="a7"/>
    <w:autoRedefine/>
    <w:uiPriority w:val="9"/>
    <w:qFormat/>
    <w:pPr>
      <w:keepNext/>
      <w:keepLines/>
      <w:spacing w:before="340" w:after="330" w:line="578" w:lineRule="auto"/>
      <w:outlineLvl w:val="0"/>
    </w:pPr>
    <w:rPr>
      <w:b/>
      <w:bCs/>
      <w:kern w:val="44"/>
      <w:sz w:val="44"/>
      <w:szCs w:val="44"/>
    </w:rPr>
  </w:style>
  <w:style w:type="paragraph" w:styleId="3">
    <w:name w:val="heading 3"/>
    <w:basedOn w:val="a7"/>
    <w:next w:val="a7"/>
    <w:semiHidden/>
    <w:unhideWhenUsed/>
    <w:qFormat/>
    <w:pPr>
      <w:spacing w:beforeAutospacing="1" w:afterAutospacing="1"/>
      <w:jc w:val="left"/>
      <w:outlineLvl w:val="2"/>
    </w:pPr>
    <w:rPr>
      <w:rFonts w:ascii="宋体" w:hAnsi="宋体" w:hint="eastAsia"/>
      <w:b/>
      <w:bCs/>
      <w:kern w:val="0"/>
      <w:sz w:val="27"/>
      <w:szCs w:val="27"/>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autoRedefine/>
    <w:qFormat/>
    <w:pPr>
      <w:jc w:val="left"/>
    </w:pPr>
  </w:style>
  <w:style w:type="paragraph" w:styleId="ac">
    <w:name w:val="Body Text"/>
    <w:basedOn w:val="a7"/>
    <w:autoRedefine/>
    <w:uiPriority w:val="1"/>
    <w:qFormat/>
    <w:pPr>
      <w:autoSpaceDE w:val="0"/>
      <w:autoSpaceDN w:val="0"/>
      <w:jc w:val="left"/>
    </w:pPr>
    <w:rPr>
      <w:rFonts w:ascii="宋体" w:hAnsi="宋体"/>
      <w:kern w:val="0"/>
      <w:szCs w:val="21"/>
      <w:lang w:val="sq" w:eastAsia="sq"/>
    </w:rPr>
  </w:style>
  <w:style w:type="paragraph" w:styleId="30">
    <w:name w:val="toc 3"/>
    <w:basedOn w:val="a7"/>
    <w:next w:val="a7"/>
    <w:autoRedefine/>
    <w:uiPriority w:val="39"/>
    <w:qFormat/>
    <w:pPr>
      <w:ind w:leftChars="400" w:left="840"/>
    </w:pPr>
  </w:style>
  <w:style w:type="paragraph" w:styleId="ad">
    <w:name w:val="Date"/>
    <w:basedOn w:val="a7"/>
    <w:next w:val="a7"/>
    <w:link w:val="Char"/>
    <w:autoRedefine/>
    <w:qFormat/>
    <w:pPr>
      <w:ind w:leftChars="2500" w:left="100"/>
    </w:pPr>
  </w:style>
  <w:style w:type="paragraph" w:styleId="ae">
    <w:name w:val="Balloon Text"/>
    <w:basedOn w:val="a7"/>
    <w:link w:val="Char0"/>
    <w:qFormat/>
    <w:rPr>
      <w:sz w:val="18"/>
      <w:szCs w:val="18"/>
    </w:rPr>
  </w:style>
  <w:style w:type="paragraph" w:styleId="af">
    <w:name w:val="footer"/>
    <w:basedOn w:val="a7"/>
    <w:autoRedefine/>
    <w:uiPriority w:val="99"/>
    <w:unhideWhenUsed/>
    <w:qFormat/>
    <w:pPr>
      <w:tabs>
        <w:tab w:val="center" w:pos="4153"/>
        <w:tab w:val="right" w:pos="8306"/>
      </w:tabs>
      <w:snapToGrid w:val="0"/>
      <w:jc w:val="left"/>
    </w:pPr>
    <w:rPr>
      <w:sz w:val="18"/>
      <w:szCs w:val="18"/>
    </w:rPr>
  </w:style>
  <w:style w:type="paragraph" w:styleId="af0">
    <w:name w:val="header"/>
    <w:basedOn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unhideWhenUsed/>
    <w:qFormat/>
    <w:pPr>
      <w:tabs>
        <w:tab w:val="right" w:leader="dot" w:pos="9344"/>
      </w:tabs>
      <w:spacing w:line="360" w:lineRule="auto"/>
    </w:pPr>
  </w:style>
  <w:style w:type="paragraph" w:styleId="2">
    <w:name w:val="toc 2"/>
    <w:basedOn w:val="a7"/>
    <w:next w:val="a7"/>
    <w:autoRedefine/>
    <w:uiPriority w:val="39"/>
    <w:qFormat/>
    <w:pPr>
      <w:ind w:leftChars="200" w:left="420"/>
    </w:pPr>
  </w:style>
  <w:style w:type="paragraph" w:styleId="af1">
    <w:name w:val="Normal (Web)"/>
    <w:basedOn w:val="a7"/>
    <w:autoRedefine/>
    <w:uiPriority w:val="99"/>
    <w:unhideWhenUsed/>
    <w:qFormat/>
    <w:pPr>
      <w:widowControl/>
      <w:spacing w:before="100" w:beforeAutospacing="1" w:after="100" w:afterAutospacing="1"/>
      <w:jc w:val="left"/>
    </w:pPr>
    <w:rPr>
      <w:rFonts w:ascii="宋体" w:hAnsi="宋体" w:cs="宋体"/>
      <w:kern w:val="0"/>
      <w:sz w:val="24"/>
    </w:rPr>
  </w:style>
  <w:style w:type="table" w:styleId="af2">
    <w:name w:val="Table Grid"/>
    <w:basedOn w:val="a9"/>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8"/>
    <w:uiPriority w:val="99"/>
    <w:unhideWhenUsed/>
    <w:qFormat/>
    <w:rPr>
      <w:color w:val="0563C1" w:themeColor="hyperlink"/>
      <w:u w:val="single"/>
    </w:rPr>
  </w:style>
  <w:style w:type="character" w:styleId="af4">
    <w:name w:val="annotation reference"/>
    <w:basedOn w:val="a8"/>
    <w:autoRedefine/>
    <w:qFormat/>
    <w:rPr>
      <w:sz w:val="21"/>
      <w:szCs w:val="21"/>
    </w:rPr>
  </w:style>
  <w:style w:type="paragraph" w:customStyle="1" w:styleId="Style2">
    <w:name w:val="_Style 2"/>
    <w:basedOn w:val="1"/>
    <w:next w:val="a7"/>
    <w:autoRedefine/>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af5">
    <w:name w:val="前言、引言标题"/>
    <w:next w:val="af6"/>
    <w:autoRedefine/>
    <w:qFormat/>
    <w:pPr>
      <w:keepNext/>
      <w:pageBreakBefore/>
      <w:shd w:val="clear" w:color="FFFFFF" w:fill="FFFFFF"/>
      <w:spacing w:before="640" w:after="560"/>
      <w:jc w:val="center"/>
      <w:outlineLvl w:val="0"/>
    </w:pPr>
    <w:rPr>
      <w:rFonts w:ascii="黑体" w:eastAsia="黑体"/>
      <w:sz w:val="32"/>
    </w:rPr>
  </w:style>
  <w:style w:type="paragraph" w:customStyle="1" w:styleId="af6">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f7">
    <w:name w:val="目次、标准名称标题"/>
    <w:basedOn w:val="a7"/>
    <w:next w:val="af6"/>
    <w:autoRedefin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章标题"/>
    <w:next w:val="af6"/>
    <w:autoRedefine/>
    <w:qFormat/>
    <w:pPr>
      <w:numPr>
        <w:numId w:val="1"/>
      </w:numPr>
      <w:spacing w:beforeLines="100" w:before="312" w:afterLines="100" w:after="312"/>
      <w:jc w:val="both"/>
      <w:outlineLvl w:val="1"/>
    </w:pPr>
    <w:rPr>
      <w:rFonts w:ascii="黑体" w:eastAsia="黑体"/>
      <w:sz w:val="21"/>
    </w:rPr>
  </w:style>
  <w:style w:type="paragraph" w:customStyle="1" w:styleId="a6">
    <w:name w:val="一级条标题"/>
    <w:next w:val="af6"/>
    <w:autoRedefine/>
    <w:qFormat/>
    <w:pPr>
      <w:numPr>
        <w:ilvl w:val="1"/>
        <w:numId w:val="1"/>
      </w:numPr>
      <w:spacing w:beforeLines="50" w:before="156" w:afterLines="50" w:after="156"/>
      <w:outlineLvl w:val="2"/>
    </w:pPr>
    <w:rPr>
      <w:rFonts w:ascii="黑体" w:eastAsia="黑体"/>
      <w:sz w:val="21"/>
      <w:szCs w:val="21"/>
    </w:rPr>
  </w:style>
  <w:style w:type="paragraph" w:styleId="af8">
    <w:name w:val="List Paragraph"/>
    <w:basedOn w:val="a7"/>
    <w:autoRedefine/>
    <w:uiPriority w:val="34"/>
    <w:qFormat/>
    <w:pPr>
      <w:ind w:firstLineChars="200" w:firstLine="420"/>
    </w:pPr>
  </w:style>
  <w:style w:type="paragraph" w:customStyle="1" w:styleId="Bodytext1">
    <w:name w:val="Body text|1"/>
    <w:basedOn w:val="a7"/>
    <w:autoRedefine/>
    <w:qFormat/>
    <w:pPr>
      <w:jc w:val="left"/>
    </w:pPr>
    <w:rPr>
      <w:rFonts w:ascii="宋体" w:hAnsi="宋体" w:cs="宋体"/>
      <w:kern w:val="0"/>
      <w:sz w:val="20"/>
      <w:szCs w:val="20"/>
      <w:lang w:val="zh-TW" w:eastAsia="zh-TW" w:bidi="zh-TW"/>
    </w:rPr>
  </w:style>
  <w:style w:type="paragraph" w:customStyle="1" w:styleId="Other1">
    <w:name w:val="Other|1"/>
    <w:basedOn w:val="a7"/>
    <w:autoRedefine/>
    <w:qFormat/>
    <w:pPr>
      <w:jc w:val="left"/>
    </w:pPr>
    <w:rPr>
      <w:rFonts w:ascii="宋体" w:hAnsi="宋体" w:cs="宋体"/>
      <w:kern w:val="0"/>
      <w:sz w:val="20"/>
      <w:szCs w:val="20"/>
      <w:lang w:val="zh-TW" w:eastAsia="zh-TW" w:bidi="zh-TW"/>
    </w:rPr>
  </w:style>
  <w:style w:type="paragraph" w:customStyle="1" w:styleId="TableParagraph">
    <w:name w:val="Table Paragraph"/>
    <w:basedOn w:val="a7"/>
    <w:autoRedefine/>
    <w:uiPriority w:val="1"/>
    <w:qFormat/>
    <w:pPr>
      <w:autoSpaceDE w:val="0"/>
      <w:autoSpaceDN w:val="0"/>
      <w:spacing w:before="38"/>
      <w:ind w:left="107"/>
      <w:jc w:val="center"/>
    </w:pPr>
    <w:rPr>
      <w:rFonts w:ascii="宋体" w:hAnsi="宋体"/>
      <w:kern w:val="0"/>
      <w:sz w:val="22"/>
      <w:szCs w:val="22"/>
      <w:lang w:val="sq" w:eastAsia="sq"/>
    </w:rPr>
  </w:style>
  <w:style w:type="table" w:customStyle="1" w:styleId="TableNormal">
    <w:name w:val="Table Normal"/>
    <w:autoRedefine/>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af9">
    <w:name w:val="二级条标题"/>
    <w:basedOn w:val="a6"/>
    <w:next w:val="af6"/>
    <w:autoRedefine/>
    <w:qFormat/>
    <w:pPr>
      <w:spacing w:before="50" w:after="50"/>
      <w:outlineLvl w:val="3"/>
    </w:pPr>
    <w:rPr>
      <w:rFonts w:cs="Calibri"/>
    </w:rPr>
  </w:style>
  <w:style w:type="paragraph" w:customStyle="1" w:styleId="WPSOffice1">
    <w:name w:val="WPSOffice手动目录 1"/>
    <w:qFormat/>
  </w:style>
  <w:style w:type="character" w:customStyle="1" w:styleId="Char0">
    <w:name w:val="批注框文本 Char"/>
    <w:basedOn w:val="a8"/>
    <w:link w:val="ae"/>
    <w:autoRedefine/>
    <w:qFormat/>
    <w:rPr>
      <w:kern w:val="2"/>
      <w:sz w:val="18"/>
      <w:szCs w:val="18"/>
    </w:rPr>
  </w:style>
  <w:style w:type="character" w:customStyle="1" w:styleId="Char">
    <w:name w:val="日期 Char"/>
    <w:basedOn w:val="a8"/>
    <w:link w:val="ad"/>
    <w:autoRedefine/>
    <w:qFormat/>
    <w:rPr>
      <w:kern w:val="2"/>
      <w:sz w:val="21"/>
      <w:szCs w:val="24"/>
    </w:rPr>
  </w:style>
  <w:style w:type="paragraph" w:customStyle="1" w:styleId="WPSOffice2">
    <w:name w:val="WPSOffice手动目录 2"/>
    <w:autoRedefine/>
    <w:qFormat/>
    <w:pPr>
      <w:ind w:leftChars="200" w:left="200"/>
    </w:pPr>
  </w:style>
  <w:style w:type="paragraph" w:customStyle="1" w:styleId="11">
    <w:name w:val="修订1"/>
    <w:autoRedefine/>
    <w:hidden/>
    <w:uiPriority w:val="99"/>
    <w:semiHidden/>
    <w:qFormat/>
    <w:rPr>
      <w:kern w:val="2"/>
      <w:sz w:val="21"/>
      <w:szCs w:val="24"/>
    </w:rPr>
  </w:style>
  <w:style w:type="paragraph" w:customStyle="1" w:styleId="a2">
    <w:name w:val="标准文件_章标题"/>
    <w:next w:val="afa"/>
    <w:autoRedefine/>
    <w:qFormat/>
    <w:pPr>
      <w:numPr>
        <w:ilvl w:val="1"/>
        <w:numId w:val="2"/>
      </w:numPr>
      <w:spacing w:beforeLines="100" w:before="100" w:afterLines="100" w:after="100"/>
      <w:jc w:val="both"/>
      <w:outlineLvl w:val="0"/>
    </w:pPr>
    <w:rPr>
      <w:rFonts w:ascii="黑体" w:eastAsia="黑体"/>
      <w:sz w:val="21"/>
    </w:rPr>
  </w:style>
  <w:style w:type="paragraph" w:customStyle="1" w:styleId="afa">
    <w:name w:val="标准文件_段"/>
    <w:autoRedefine/>
    <w:qFormat/>
    <w:pPr>
      <w:autoSpaceDE w:val="0"/>
      <w:autoSpaceDN w:val="0"/>
      <w:ind w:firstLineChars="200" w:firstLine="200"/>
      <w:jc w:val="both"/>
    </w:pPr>
    <w:rPr>
      <w:rFonts w:ascii="宋体"/>
      <w:sz w:val="21"/>
    </w:rPr>
  </w:style>
  <w:style w:type="paragraph" w:customStyle="1" w:styleId="a3">
    <w:name w:val="标准文件_一级条标题"/>
    <w:basedOn w:val="a2"/>
    <w:next w:val="afa"/>
    <w:autoRedefine/>
    <w:qFormat/>
    <w:pPr>
      <w:numPr>
        <w:ilvl w:val="2"/>
      </w:numPr>
      <w:spacing w:beforeLines="50" w:before="50" w:afterLines="50" w:after="50"/>
      <w:ind w:left="0"/>
      <w:outlineLvl w:val="1"/>
    </w:pPr>
  </w:style>
  <w:style w:type="paragraph" w:customStyle="1" w:styleId="a1">
    <w:name w:val="标准文件_正文表标题"/>
    <w:next w:val="afa"/>
    <w:autoRedefine/>
    <w:qFormat/>
    <w:pPr>
      <w:numPr>
        <w:numId w:val="3"/>
      </w:numPr>
      <w:tabs>
        <w:tab w:val="left" w:pos="0"/>
      </w:tabs>
      <w:spacing w:beforeLines="50" w:before="50" w:afterLines="50" w:after="50"/>
      <w:jc w:val="center"/>
    </w:pPr>
    <w:rPr>
      <w:rFonts w:ascii="黑体" w:eastAsia="黑体"/>
      <w:sz w:val="21"/>
    </w:rPr>
  </w:style>
  <w:style w:type="paragraph" w:customStyle="1" w:styleId="afb">
    <w:name w:val="标准文件_表格"/>
    <w:basedOn w:val="afa"/>
    <w:autoRedefine/>
    <w:qFormat/>
    <w:pPr>
      <w:ind w:firstLineChars="0" w:firstLine="0"/>
      <w:jc w:val="center"/>
    </w:pPr>
    <w:rPr>
      <w:sz w:val="18"/>
    </w:rPr>
  </w:style>
  <w:style w:type="paragraph" w:customStyle="1" w:styleId="a4">
    <w:name w:val="标准文件_注："/>
    <w:next w:val="afa"/>
    <w:autoRedefine/>
    <w:qFormat/>
    <w:pPr>
      <w:widowControl w:val="0"/>
      <w:numPr>
        <w:numId w:val="4"/>
      </w:numPr>
      <w:autoSpaceDE w:val="0"/>
      <w:autoSpaceDN w:val="0"/>
      <w:jc w:val="both"/>
    </w:pPr>
    <w:rPr>
      <w:rFonts w:ascii="宋体"/>
      <w:sz w:val="18"/>
      <w:szCs w:val="18"/>
    </w:rPr>
  </w:style>
  <w:style w:type="paragraph" w:customStyle="1" w:styleId="a">
    <w:name w:val="标准文件_字母编号列项（一级）"/>
    <w:autoRedefine/>
    <w:qFormat/>
    <w:pPr>
      <w:numPr>
        <w:numId w:val="5"/>
      </w:numPr>
      <w:jc w:val="both"/>
    </w:pPr>
    <w:rPr>
      <w:rFonts w:ascii="宋体"/>
      <w:sz w:val="21"/>
    </w:rPr>
  </w:style>
  <w:style w:type="paragraph" w:customStyle="1" w:styleId="a0">
    <w:name w:val="标准文件_数字编号列项（二级）"/>
    <w:autoRedefine/>
    <w:qFormat/>
    <w:pPr>
      <w:numPr>
        <w:ilvl w:val="1"/>
        <w:numId w:val="5"/>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image" Target="media/image1.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aaa5a9c-099a-48a9-b6b8-606a19174359}"/>
        <w:category>
          <w:name w:val="常规"/>
          <w:gallery w:val="placeholder"/>
        </w:category>
        <w:types>
          <w:type w:val="bbPlcHdr"/>
        </w:types>
        <w:behaviors>
          <w:behavior w:val="content"/>
        </w:behaviors>
        <w:guid w:val="{5AAA5A9C-099A-48A9-B6B8-606A19174359}"/>
      </w:docPartPr>
      <w:docPartBody>
        <w:p w:rsidR="00FF0E06" w:rsidRDefault="001972D6">
          <w:pPr>
            <w:pStyle w:val="6D295C76CF4540C8B9254ED4B712A98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characterSpacingControl w:val="doNotCompress"/>
  <w:compat>
    <w:useFELayout/>
    <w:splitPgBreakAndParaMark/>
    <w:compatSetting w:name="compatibilityMode" w:uri="http://schemas.microsoft.com/office/word" w:val="14"/>
  </w:compat>
  <w:rsids>
    <w:rsidRoot w:val="00FF0E06"/>
    <w:rsid w:val="001972D6"/>
    <w:rsid w:val="00FF0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D295C76CF4540C8B9254ED4B712A98B">
    <w:name w:val="6D295C76CF4540C8B9254ED4B712A98B"/>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D295C76CF4540C8B9254ED4B712A98B">
    <w:name w:val="6D295C76CF4540C8B9254ED4B712A98B"/>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49B0CB-0FF0-4BA3-A603-F661D444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446</Words>
  <Characters>2546</Characters>
  <Application>Microsoft Office Word</Application>
  <DocSecurity>0</DocSecurity>
  <Lines>21</Lines>
  <Paragraphs>5</Paragraphs>
  <ScaleCrop>false</ScaleCrop>
  <Company>Microsoft</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妞小胖</dc:creator>
  <cp:lastModifiedBy>梁彪</cp:lastModifiedBy>
  <cp:revision>2</cp:revision>
  <dcterms:created xsi:type="dcterms:W3CDTF">2024-09-03T07:16:00Z</dcterms:created>
  <dcterms:modified xsi:type="dcterms:W3CDTF">2024-09-03T07:16:00Z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55DF575DB0674F4AA4C8D3BDC64F83C5</vt:lpwstr>
  </property>
</Properties>
</file>